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202</w:t>
      </w:r>
      <w:r>
        <w:rPr>
          <w:rFonts w:hint="eastAsia" w:ascii="方正小标宋简体" w:hAnsi="仿宋" w:eastAsia="方正小标宋简体"/>
          <w:sz w:val="44"/>
          <w:szCs w:val="44"/>
          <w:highlight w:val="none"/>
          <w:lang w:val="en-US" w:eastAsia="zh-CN"/>
        </w:rPr>
        <w:t>1</w:t>
      </w:r>
      <w:r>
        <w:rPr>
          <w:rFonts w:hint="eastAsia" w:ascii="方正小标宋简体" w:hAnsi="仿宋" w:eastAsia="方正小标宋简体"/>
          <w:sz w:val="44"/>
          <w:szCs w:val="44"/>
          <w:highlight w:val="none"/>
        </w:rPr>
        <w:t>年度</w:t>
      </w:r>
      <w:r>
        <w:rPr>
          <w:rFonts w:hint="eastAsia" w:ascii="方正小标宋简体" w:hAnsi="仿宋" w:eastAsia="方正小标宋简体"/>
          <w:sz w:val="44"/>
          <w:szCs w:val="44"/>
          <w:highlight w:val="none"/>
          <w:lang w:eastAsia="zh-CN"/>
        </w:rPr>
        <w:t>市残联部门</w:t>
      </w:r>
      <w:r>
        <w:rPr>
          <w:rFonts w:hint="eastAsia" w:ascii="方正小标宋简体" w:hAnsi="仿宋" w:eastAsia="方正小标宋简体"/>
          <w:sz w:val="44"/>
          <w:szCs w:val="44"/>
          <w:highlight w:val="none"/>
        </w:rPr>
        <w:t>整体支出绩效</w:t>
      </w:r>
    </w:p>
    <w:p>
      <w:pPr>
        <w:spacing w:line="700" w:lineRule="exact"/>
        <w:jc w:val="center"/>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自评报告</w:t>
      </w:r>
    </w:p>
    <w:p>
      <w:pPr>
        <w:spacing w:line="560" w:lineRule="exact"/>
        <w:rPr>
          <w:rFonts w:hint="eastAsia" w:ascii="仿宋" w:hAnsi="仿宋" w:eastAsia="仿宋"/>
          <w:sz w:val="36"/>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Times New Roman" w:cs="Times New Roman"/>
          <w:szCs w:val="32"/>
          <w:highlight w:val="none"/>
        </w:rPr>
      </w:pPr>
      <w:r>
        <w:rPr>
          <w:rFonts w:hint="eastAsia" w:ascii="仿宋_GB2312" w:hAnsi="Times New Roman" w:cs="Times New Roman"/>
          <w:szCs w:val="32"/>
          <w:highlight w:val="none"/>
        </w:rPr>
        <w:t>根据</w:t>
      </w:r>
      <w:r>
        <w:rPr>
          <w:rFonts w:hint="eastAsia" w:ascii="仿宋_GB2312" w:hAnsi="Times New Roman" w:cs="Times New Roman"/>
          <w:szCs w:val="32"/>
          <w:highlight w:val="none"/>
          <w:lang w:eastAsia="zh-CN"/>
        </w:rPr>
        <w:t>《</w:t>
      </w:r>
      <w:r>
        <w:rPr>
          <w:rFonts w:hint="eastAsia" w:ascii="仿宋_GB2312" w:hAnsi="Times New Roman" w:cs="Times New Roman"/>
          <w:szCs w:val="32"/>
          <w:highlight w:val="none"/>
        </w:rPr>
        <w:t>益阳市财政局关于</w:t>
      </w:r>
      <w:r>
        <w:rPr>
          <w:rFonts w:hint="eastAsia" w:ascii="仿宋_GB2312" w:hAnsi="Times New Roman" w:cs="Times New Roman"/>
          <w:szCs w:val="32"/>
          <w:highlight w:val="none"/>
          <w:lang w:eastAsia="zh-CN"/>
        </w:rPr>
        <w:t>印发</w:t>
      </w:r>
      <w:r>
        <w:rPr>
          <w:rFonts w:hint="eastAsia" w:ascii="仿宋_GB2312" w:hAnsi="Times New Roman" w:cs="Times New Roman"/>
          <w:szCs w:val="32"/>
          <w:highlight w:val="none"/>
          <w:lang w:val="en-US" w:eastAsia="zh-CN"/>
        </w:rPr>
        <w:t>&lt;益阳市财政预算支出绩效评价结果应用管理暂行办法&gt;</w:t>
      </w:r>
      <w:r>
        <w:rPr>
          <w:rFonts w:hint="eastAsia" w:ascii="仿宋_GB2312" w:hAnsi="Times New Roman" w:cs="Times New Roman"/>
          <w:szCs w:val="32"/>
          <w:highlight w:val="none"/>
        </w:rPr>
        <w:t>的通知》（益财绩〔2020〕</w:t>
      </w:r>
      <w:r>
        <w:rPr>
          <w:rFonts w:hint="eastAsia" w:ascii="仿宋_GB2312" w:hAnsi="Times New Roman" w:cs="Times New Roman"/>
          <w:szCs w:val="32"/>
          <w:highlight w:val="none"/>
          <w:lang w:val="en-US" w:eastAsia="zh-CN"/>
        </w:rPr>
        <w:t>276</w:t>
      </w:r>
      <w:r>
        <w:rPr>
          <w:rFonts w:hint="eastAsia" w:ascii="仿宋_GB2312" w:hAnsi="Times New Roman" w:cs="Times New Roman"/>
          <w:szCs w:val="32"/>
          <w:highlight w:val="none"/>
        </w:rPr>
        <w:t>号）</w:t>
      </w:r>
      <w:r>
        <w:rPr>
          <w:rFonts w:hint="eastAsia" w:ascii="仿宋_GB2312" w:hAnsi="Times New Roman" w:cs="Times New Roman"/>
          <w:szCs w:val="32"/>
          <w:highlight w:val="none"/>
          <w:lang w:eastAsia="zh-CN"/>
        </w:rPr>
        <w:t>及</w:t>
      </w:r>
      <w:bookmarkStart w:id="0" w:name="_GoBack"/>
      <w:bookmarkEnd w:id="0"/>
      <w:r>
        <w:rPr>
          <w:rFonts w:hint="eastAsia" w:ascii="仿宋_GB2312" w:hAnsi="Times New Roman" w:cs="Times New Roman"/>
          <w:szCs w:val="32"/>
          <w:highlight w:val="none"/>
        </w:rPr>
        <w:t>《益阳市财政局关于开展20</w:t>
      </w:r>
      <w:r>
        <w:rPr>
          <w:rFonts w:hint="eastAsia" w:ascii="仿宋_GB2312" w:hAnsi="Times New Roman" w:cs="Times New Roman"/>
          <w:szCs w:val="32"/>
          <w:highlight w:val="none"/>
          <w:lang w:val="en-US" w:eastAsia="zh-CN"/>
        </w:rPr>
        <w:t>21</w:t>
      </w:r>
      <w:r>
        <w:rPr>
          <w:rFonts w:hint="eastAsia" w:ascii="仿宋_GB2312" w:hAnsi="Times New Roman" w:cs="Times New Roman"/>
          <w:szCs w:val="32"/>
          <w:highlight w:val="none"/>
        </w:rPr>
        <w:t>年度</w:t>
      </w:r>
      <w:r>
        <w:rPr>
          <w:rFonts w:hint="eastAsia" w:ascii="仿宋_GB2312" w:hAnsi="Times New Roman" w:cs="Times New Roman"/>
          <w:szCs w:val="32"/>
          <w:highlight w:val="none"/>
          <w:lang w:eastAsia="zh-CN"/>
        </w:rPr>
        <w:t>部门</w:t>
      </w:r>
      <w:r>
        <w:rPr>
          <w:rFonts w:hint="eastAsia" w:ascii="仿宋_GB2312" w:hAnsi="Times New Roman" w:cs="Times New Roman"/>
          <w:szCs w:val="32"/>
          <w:highlight w:val="none"/>
        </w:rPr>
        <w:t>绩效自评工作的通知》等有关文件精神，我会认真组织了20</w:t>
      </w:r>
      <w:r>
        <w:rPr>
          <w:rFonts w:hint="eastAsia" w:ascii="仿宋_GB2312" w:hAnsi="Times New Roman" w:cs="Times New Roman"/>
          <w:szCs w:val="32"/>
          <w:highlight w:val="none"/>
          <w:lang w:val="en-US" w:eastAsia="zh-CN"/>
        </w:rPr>
        <w:t>21</w:t>
      </w:r>
      <w:r>
        <w:rPr>
          <w:rFonts w:hint="eastAsia" w:ascii="仿宋_GB2312" w:hAnsi="Times New Roman" w:cs="Times New Roman"/>
          <w:szCs w:val="32"/>
          <w:highlight w:val="none"/>
        </w:rPr>
        <w:t>年度预算绩效自评工作，现将我会部门整体支出绩效评价情况报告如下：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szCs w:val="32"/>
          <w:highlight w:val="none"/>
        </w:rPr>
      </w:pPr>
      <w:r>
        <w:rPr>
          <w:rFonts w:hint="eastAsia" w:ascii="黑体" w:hAnsi="黑体" w:eastAsia="黑体"/>
          <w:szCs w:val="32"/>
          <w:highlight w:val="none"/>
        </w:rPr>
        <w:t>部门（单位）基本情况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 w:cs="Times New Roman"/>
          <w:color w:val="auto"/>
          <w:szCs w:val="32"/>
          <w:highlight w:val="none"/>
        </w:rPr>
      </w:pPr>
      <w:r>
        <w:rPr>
          <w:rFonts w:hint="eastAsia" w:ascii="仿宋_GB2312" w:hAnsi="仿宋" w:cs="Times New Roman"/>
          <w:color w:val="auto"/>
          <w:szCs w:val="32"/>
          <w:highlight w:val="none"/>
          <w:lang w:eastAsia="zh-CN"/>
        </w:rPr>
        <w:t>益阳市残疾人联合会（以下简称市残联）</w:t>
      </w:r>
      <w:r>
        <w:rPr>
          <w:rFonts w:hint="eastAsia" w:ascii="仿宋_GB2312" w:hAnsi="仿宋" w:cs="Times New Roman"/>
          <w:color w:val="auto"/>
          <w:szCs w:val="32"/>
          <w:highlight w:val="none"/>
        </w:rPr>
        <w:t>是将残疾人自身代表组织和事业管理机构融为一体的联合性团体。</w:t>
      </w:r>
      <w:r>
        <w:rPr>
          <w:rFonts w:hint="eastAsia" w:ascii="仿宋_GB2312" w:hAnsi="仿宋" w:cs="Times New Roman"/>
          <w:color w:val="auto"/>
          <w:szCs w:val="32"/>
          <w:highlight w:val="none"/>
          <w:lang w:eastAsia="zh-CN"/>
        </w:rPr>
        <w:t>其主要职能为听取残疾人意见，反映残疾人需求，维护残疾人权益，为残疾人服务，开展残疾人康复、教育、劳动就业、文化、体育、科研、辅助器具供应、福利、社会服务、无障碍设施和残疾预防工作，创造良好的环境和条件，扶助残疾人平等参与社会生活。市残联</w:t>
      </w:r>
      <w:r>
        <w:rPr>
          <w:rFonts w:hint="eastAsia" w:ascii="仿宋_GB2312" w:hAnsi="仿宋" w:cs="Times New Roman"/>
          <w:color w:val="auto"/>
          <w:szCs w:val="32"/>
          <w:highlight w:val="none"/>
        </w:rPr>
        <w:t>机关（以下简称机关）为参照公务员法管理的全额拨款事业单位，正处级群团组织</w:t>
      </w:r>
      <w:r>
        <w:rPr>
          <w:rFonts w:hint="eastAsia" w:ascii="仿宋_GB2312" w:hAnsi="仿宋" w:cs="Times New Roman"/>
          <w:color w:val="auto"/>
          <w:szCs w:val="32"/>
          <w:highlight w:val="none"/>
          <w:lang w:eastAsia="zh-CN"/>
        </w:rPr>
        <w:t>，内设办公室、维权部、康复部、教育就业部等部门。</w:t>
      </w:r>
      <w:r>
        <w:rPr>
          <w:rFonts w:hint="eastAsia" w:ascii="仿宋_GB2312" w:hAnsi="仿宋" w:cs="Times New Roman"/>
          <w:color w:val="auto"/>
          <w:szCs w:val="32"/>
          <w:highlight w:val="none"/>
        </w:rPr>
        <w:t>市残疾人劳动就业服务中心（以下简称中心）为市残联机关主管的二级机构，为正科级全额拨款事业单位。机关编制11人，实有</w:t>
      </w:r>
      <w:r>
        <w:rPr>
          <w:rFonts w:hint="eastAsia" w:ascii="仿宋_GB2312" w:hAnsi="仿宋" w:cs="Times New Roman"/>
          <w:color w:val="auto"/>
          <w:szCs w:val="32"/>
          <w:highlight w:val="none"/>
          <w:lang w:val="en-US" w:eastAsia="zh-CN"/>
        </w:rPr>
        <w:t>17</w:t>
      </w:r>
      <w:r>
        <w:rPr>
          <w:rFonts w:hint="eastAsia" w:ascii="仿宋_GB2312" w:hAnsi="仿宋" w:cs="Times New Roman"/>
          <w:color w:val="auto"/>
          <w:szCs w:val="32"/>
          <w:highlight w:val="none"/>
        </w:rPr>
        <w:t>人（其中退休人员3人，临聘人员</w:t>
      </w:r>
      <w:r>
        <w:rPr>
          <w:rFonts w:hint="eastAsia" w:ascii="仿宋_GB2312" w:hAnsi="仿宋" w:cs="Times New Roman"/>
          <w:color w:val="auto"/>
          <w:szCs w:val="32"/>
          <w:highlight w:val="none"/>
          <w:lang w:val="en-US" w:eastAsia="zh-CN"/>
        </w:rPr>
        <w:t>3</w:t>
      </w:r>
      <w:r>
        <w:rPr>
          <w:rFonts w:hint="eastAsia" w:ascii="仿宋_GB2312" w:hAnsi="仿宋" w:cs="Times New Roman"/>
          <w:color w:val="auto"/>
          <w:szCs w:val="32"/>
          <w:highlight w:val="none"/>
        </w:rPr>
        <w:t>人），中心编制11人，实有17人（其中退休人员</w:t>
      </w:r>
      <w:r>
        <w:rPr>
          <w:rFonts w:hint="eastAsia" w:ascii="仿宋_GB2312" w:hAnsi="仿宋" w:cs="Times New Roman"/>
          <w:color w:val="auto"/>
          <w:szCs w:val="32"/>
          <w:highlight w:val="none"/>
          <w:lang w:val="en-US" w:eastAsia="zh-CN"/>
        </w:rPr>
        <w:t>5</w:t>
      </w:r>
      <w:r>
        <w:rPr>
          <w:rFonts w:hint="eastAsia" w:ascii="仿宋_GB2312" w:hAnsi="仿宋" w:cs="Times New Roman"/>
          <w:color w:val="auto"/>
          <w:szCs w:val="32"/>
          <w:highlight w:val="none"/>
        </w:rPr>
        <w:t>人，临聘人员</w:t>
      </w:r>
      <w:r>
        <w:rPr>
          <w:rFonts w:hint="eastAsia" w:ascii="仿宋_GB2312" w:hAnsi="仿宋" w:cs="Times New Roman"/>
          <w:color w:val="auto"/>
          <w:szCs w:val="32"/>
          <w:highlight w:val="none"/>
          <w:lang w:val="en-US" w:eastAsia="zh-CN"/>
        </w:rPr>
        <w:t>2</w:t>
      </w:r>
      <w:r>
        <w:rPr>
          <w:rFonts w:hint="eastAsia" w:ascii="仿宋_GB2312" w:hAnsi="仿宋" w:cs="Times New Roman"/>
          <w:color w:val="auto"/>
          <w:szCs w:val="32"/>
          <w:highlight w:val="none"/>
        </w:rPr>
        <w:t>人）。</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ascii="黑体" w:hAnsi="黑体" w:eastAsia="黑体"/>
          <w:szCs w:val="32"/>
          <w:highlight w:val="none"/>
        </w:rPr>
      </w:pPr>
      <w:r>
        <w:rPr>
          <w:rFonts w:hint="eastAsia" w:ascii="黑体" w:hAnsi="黑体" w:eastAsia="黑体"/>
          <w:szCs w:val="32"/>
          <w:highlight w:val="none"/>
        </w:rPr>
        <w:t>二、</w:t>
      </w:r>
      <w:r>
        <w:rPr>
          <w:rFonts w:ascii="黑体" w:hAnsi="黑体" w:eastAsia="黑体"/>
          <w:szCs w:val="32"/>
          <w:highlight w:val="none"/>
        </w:rPr>
        <w:t>一般公共预算支出情况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 w:cs="Times New Roman"/>
          <w:szCs w:val="32"/>
          <w:highlight w:val="none"/>
        </w:rPr>
      </w:pPr>
      <w:r>
        <w:rPr>
          <w:rFonts w:hint="eastAsia" w:ascii="仿宋_GB2312" w:hAnsi="仿宋" w:cs="Times New Roman"/>
          <w:szCs w:val="32"/>
          <w:highlight w:val="none"/>
          <w:lang w:eastAsia="zh-CN"/>
        </w:rPr>
        <w:t>我单位</w:t>
      </w:r>
      <w:r>
        <w:rPr>
          <w:rFonts w:hint="eastAsia" w:ascii="仿宋_GB2312" w:hAnsi="仿宋" w:cs="Times New Roman"/>
          <w:szCs w:val="32"/>
          <w:highlight w:val="none"/>
        </w:rPr>
        <w:t>20</w:t>
      </w:r>
      <w:r>
        <w:rPr>
          <w:rFonts w:hint="eastAsia" w:ascii="仿宋_GB2312" w:hAnsi="仿宋" w:cs="Times New Roman"/>
          <w:szCs w:val="32"/>
          <w:highlight w:val="none"/>
          <w:lang w:val="en-US" w:eastAsia="zh-CN"/>
        </w:rPr>
        <w:t>21</w:t>
      </w:r>
      <w:r>
        <w:rPr>
          <w:rFonts w:hint="eastAsia" w:ascii="仿宋_GB2312" w:hAnsi="仿宋" w:cs="Times New Roman"/>
          <w:szCs w:val="32"/>
          <w:highlight w:val="none"/>
        </w:rPr>
        <w:t>年</w:t>
      </w:r>
      <w:r>
        <w:rPr>
          <w:rFonts w:hint="eastAsia" w:ascii="仿宋_GB2312" w:hAnsi="仿宋" w:cs="Times New Roman"/>
          <w:szCs w:val="32"/>
          <w:highlight w:val="none"/>
          <w:lang w:eastAsia="zh-CN"/>
        </w:rPr>
        <w:t>一般公共预算财政拨款收入</w:t>
      </w:r>
      <w:r>
        <w:rPr>
          <w:rFonts w:hint="eastAsia" w:ascii="仿宋_GB2312" w:hAnsi="仿宋" w:cs="Times New Roman"/>
          <w:szCs w:val="32"/>
          <w:highlight w:val="none"/>
          <w:lang w:val="en-US" w:eastAsia="zh-CN"/>
        </w:rPr>
        <w:t>1192.83万</w:t>
      </w:r>
      <w:r>
        <w:rPr>
          <w:rFonts w:hint="eastAsia" w:ascii="仿宋_GB2312" w:hAnsi="仿宋" w:cs="Times New Roman"/>
          <w:szCs w:val="32"/>
          <w:highlight w:val="none"/>
        </w:rPr>
        <w:t>元（机关收入</w:t>
      </w:r>
      <w:r>
        <w:rPr>
          <w:rFonts w:hint="eastAsia" w:ascii="仿宋_GB2312" w:hAnsi="仿宋" w:cs="Times New Roman"/>
          <w:szCs w:val="32"/>
          <w:highlight w:val="none"/>
          <w:lang w:val="en-US" w:eastAsia="zh-CN"/>
        </w:rPr>
        <w:t>945.85万</w:t>
      </w:r>
      <w:r>
        <w:rPr>
          <w:rFonts w:hint="eastAsia" w:ascii="仿宋_GB2312" w:hAnsi="仿宋" w:cs="Times New Roman"/>
          <w:szCs w:val="32"/>
          <w:highlight w:val="none"/>
        </w:rPr>
        <w:t>元，中心收入</w:t>
      </w:r>
      <w:r>
        <w:rPr>
          <w:rFonts w:hint="eastAsia" w:ascii="仿宋_GB2312" w:hAnsi="仿宋" w:cs="Times New Roman"/>
          <w:szCs w:val="32"/>
          <w:highlight w:val="none"/>
          <w:lang w:val="en-US" w:eastAsia="zh-CN"/>
        </w:rPr>
        <w:t>246.97万</w:t>
      </w:r>
      <w:r>
        <w:rPr>
          <w:rFonts w:hint="eastAsia" w:ascii="仿宋_GB2312" w:hAnsi="仿宋" w:cs="Times New Roman"/>
          <w:szCs w:val="32"/>
          <w:highlight w:val="none"/>
        </w:rPr>
        <w:t>元）。其中，年初预算收入</w:t>
      </w:r>
      <w:r>
        <w:rPr>
          <w:rFonts w:hint="eastAsia" w:ascii="仿宋_GB2312" w:hAnsi="仿宋" w:cs="Times New Roman"/>
          <w:szCs w:val="32"/>
          <w:highlight w:val="none"/>
          <w:lang w:val="en-US" w:eastAsia="zh-CN"/>
        </w:rPr>
        <w:t>1490.74万</w:t>
      </w:r>
      <w:r>
        <w:rPr>
          <w:rFonts w:hint="eastAsia" w:ascii="仿宋_GB2312" w:hAnsi="仿宋" w:cs="Times New Roman"/>
          <w:szCs w:val="32"/>
          <w:highlight w:val="none"/>
        </w:rPr>
        <w:t>元（机关年初预算收入</w:t>
      </w:r>
      <w:r>
        <w:rPr>
          <w:rFonts w:hint="eastAsia" w:ascii="仿宋_GB2312" w:hAnsi="仿宋" w:cs="Times New Roman"/>
          <w:szCs w:val="32"/>
          <w:highlight w:val="none"/>
          <w:lang w:val="en-US" w:eastAsia="zh-CN"/>
        </w:rPr>
        <w:t>1163.03</w:t>
      </w:r>
      <w:r>
        <w:rPr>
          <w:rFonts w:hint="eastAsia" w:ascii="仿宋_GB2312" w:hAnsi="仿宋" w:cs="Times New Roman"/>
          <w:szCs w:val="32"/>
          <w:highlight w:val="none"/>
          <w:lang w:eastAsia="zh-CN"/>
        </w:rPr>
        <w:t>万</w:t>
      </w:r>
      <w:r>
        <w:rPr>
          <w:rFonts w:hint="eastAsia" w:ascii="仿宋_GB2312" w:hAnsi="仿宋" w:cs="Times New Roman"/>
          <w:szCs w:val="32"/>
          <w:highlight w:val="none"/>
        </w:rPr>
        <w:t>元，中心年初预算收入</w:t>
      </w:r>
      <w:r>
        <w:rPr>
          <w:rFonts w:hint="eastAsia" w:ascii="仿宋_GB2312" w:hAnsi="仿宋" w:cs="Times New Roman"/>
          <w:szCs w:val="32"/>
          <w:highlight w:val="none"/>
          <w:lang w:val="en-US" w:eastAsia="zh-CN"/>
        </w:rPr>
        <w:t>327.71</w:t>
      </w:r>
      <w:r>
        <w:rPr>
          <w:rFonts w:hint="eastAsia" w:ascii="仿宋_GB2312" w:hAnsi="仿宋" w:cs="Times New Roman"/>
          <w:szCs w:val="32"/>
          <w:highlight w:val="none"/>
          <w:lang w:eastAsia="zh-CN"/>
        </w:rPr>
        <w:t>万</w:t>
      </w:r>
      <w:r>
        <w:rPr>
          <w:rFonts w:hint="eastAsia" w:ascii="仿宋_GB2312" w:hAnsi="仿宋" w:cs="Times New Roman"/>
          <w:szCs w:val="32"/>
          <w:highlight w:val="none"/>
        </w:rPr>
        <w:t>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 w:cs="Times New Roman"/>
          <w:szCs w:val="32"/>
          <w:highlight w:val="none"/>
        </w:rPr>
      </w:pPr>
      <w:r>
        <w:rPr>
          <w:rFonts w:hint="eastAsia" w:ascii="仿宋_GB2312" w:hAnsi="仿宋" w:cs="Times New Roman"/>
          <w:szCs w:val="32"/>
          <w:highlight w:val="none"/>
          <w:lang w:eastAsia="zh-CN"/>
        </w:rPr>
        <w:t>一般公共预算财政拨款</w:t>
      </w:r>
      <w:r>
        <w:rPr>
          <w:rFonts w:hint="eastAsia" w:ascii="仿宋_GB2312" w:hAnsi="仿宋" w:cs="Times New Roman"/>
          <w:szCs w:val="32"/>
          <w:highlight w:val="none"/>
        </w:rPr>
        <w:t>支出</w:t>
      </w:r>
      <w:r>
        <w:rPr>
          <w:rFonts w:hint="eastAsia" w:ascii="仿宋_GB2312" w:hAnsi="仿宋" w:cs="Times New Roman"/>
          <w:szCs w:val="32"/>
          <w:highlight w:val="none"/>
          <w:lang w:val="en-US" w:eastAsia="zh-CN"/>
        </w:rPr>
        <w:t>1497.91万</w:t>
      </w:r>
      <w:r>
        <w:rPr>
          <w:rFonts w:hint="eastAsia" w:ascii="仿宋_GB2312" w:hAnsi="仿宋" w:cs="Times New Roman"/>
          <w:szCs w:val="32"/>
          <w:highlight w:val="none"/>
        </w:rPr>
        <w:t>元（机关</w:t>
      </w:r>
      <w:r>
        <w:rPr>
          <w:rFonts w:hint="eastAsia" w:ascii="仿宋_GB2312" w:hAnsi="仿宋" w:cs="Times New Roman"/>
          <w:szCs w:val="32"/>
          <w:highlight w:val="none"/>
          <w:lang w:val="en-US" w:eastAsia="zh-CN"/>
        </w:rPr>
        <w:t>1066.61万</w:t>
      </w:r>
      <w:r>
        <w:rPr>
          <w:rFonts w:hint="eastAsia" w:ascii="仿宋_GB2312" w:hAnsi="仿宋" w:cs="Times New Roman"/>
          <w:szCs w:val="32"/>
          <w:highlight w:val="none"/>
        </w:rPr>
        <w:t>元，中心</w:t>
      </w:r>
      <w:r>
        <w:rPr>
          <w:rFonts w:hint="eastAsia" w:ascii="仿宋_GB2312" w:hAnsi="仿宋" w:cs="Times New Roman"/>
          <w:szCs w:val="32"/>
          <w:highlight w:val="none"/>
          <w:lang w:val="en-US" w:eastAsia="zh-CN"/>
        </w:rPr>
        <w:t>431.3万</w:t>
      </w:r>
      <w:r>
        <w:rPr>
          <w:rFonts w:hint="eastAsia" w:ascii="仿宋_GB2312" w:hAnsi="仿宋" w:cs="Times New Roman"/>
          <w:szCs w:val="32"/>
          <w:highlight w:val="none"/>
        </w:rPr>
        <w:t>元）。基本支出</w:t>
      </w:r>
      <w:r>
        <w:rPr>
          <w:rFonts w:hint="eastAsia" w:ascii="仿宋_GB2312" w:hAnsi="仿宋" w:cs="Times New Roman"/>
          <w:szCs w:val="32"/>
          <w:highlight w:val="none"/>
          <w:lang w:val="en-US" w:eastAsia="zh-CN"/>
        </w:rPr>
        <w:t>456.14万</w:t>
      </w:r>
      <w:r>
        <w:rPr>
          <w:rFonts w:hint="eastAsia" w:ascii="仿宋_GB2312" w:hAnsi="仿宋" w:cs="Times New Roman"/>
          <w:szCs w:val="32"/>
          <w:highlight w:val="none"/>
        </w:rPr>
        <w:t>元（机关</w:t>
      </w:r>
      <w:r>
        <w:rPr>
          <w:rFonts w:hint="eastAsia" w:ascii="仿宋_GB2312" w:hAnsi="仿宋" w:cs="Times New Roman"/>
          <w:szCs w:val="32"/>
          <w:highlight w:val="none"/>
          <w:lang w:val="en-US" w:eastAsia="zh-CN"/>
        </w:rPr>
        <w:t>305.84万</w:t>
      </w:r>
      <w:r>
        <w:rPr>
          <w:rFonts w:hint="eastAsia" w:ascii="仿宋_GB2312" w:hAnsi="仿宋" w:cs="Times New Roman"/>
          <w:szCs w:val="32"/>
          <w:highlight w:val="none"/>
        </w:rPr>
        <w:t>元，中心</w:t>
      </w:r>
      <w:r>
        <w:rPr>
          <w:rFonts w:hint="eastAsia" w:ascii="仿宋_GB2312" w:hAnsi="仿宋" w:cs="Times New Roman"/>
          <w:szCs w:val="32"/>
          <w:highlight w:val="none"/>
          <w:lang w:val="en-US" w:eastAsia="zh-CN"/>
        </w:rPr>
        <w:t>150.3万</w:t>
      </w:r>
      <w:r>
        <w:rPr>
          <w:rFonts w:hint="eastAsia" w:ascii="仿宋_GB2312" w:hAnsi="仿宋" w:cs="Times New Roman"/>
          <w:szCs w:val="32"/>
          <w:highlight w:val="none"/>
        </w:rPr>
        <w:t>元），</w:t>
      </w:r>
      <w:r>
        <w:rPr>
          <w:rFonts w:hint="eastAsia" w:ascii="仿宋_GB2312" w:hAnsi="仿宋" w:cs="Times New Roman"/>
          <w:szCs w:val="32"/>
          <w:highlight w:val="none"/>
          <w:lang w:eastAsia="zh-CN"/>
        </w:rPr>
        <w:t>其中人员经费</w:t>
      </w:r>
      <w:r>
        <w:rPr>
          <w:rFonts w:hint="eastAsia" w:ascii="仿宋_GB2312" w:hAnsi="仿宋" w:cs="Times New Roman"/>
          <w:szCs w:val="32"/>
          <w:highlight w:val="none"/>
          <w:lang w:val="en-US" w:eastAsia="zh-CN"/>
        </w:rPr>
        <w:t>313.75万元（机关184.41万元，</w:t>
      </w:r>
      <w:r>
        <w:rPr>
          <w:rFonts w:hint="eastAsia" w:ascii="仿宋_GB2312" w:hAnsi="仿宋" w:cs="Times New Roman"/>
          <w:szCs w:val="32"/>
          <w:highlight w:val="none"/>
          <w:lang w:val="en-US" w:eastAsia="zh-CN"/>
        </w:rPr>
        <w:t>中心129.34万元）主要包括基本工资、津补贴、奖金、绩效工资、社会保障费、住房公积金、其他工资福利支出、退休费、生活补助等，日常公用经费142.38万元（机关121.42万元，中心20.96万元）主要包括公务用车运行维护费、工会经费、福利费、水费、电费、公务接待费、物业管理费等。</w:t>
      </w:r>
      <w:r>
        <w:rPr>
          <w:rFonts w:hint="eastAsia" w:ascii="仿宋_GB2312" w:hAnsi="仿宋" w:cs="Times New Roman"/>
          <w:szCs w:val="32"/>
          <w:highlight w:val="none"/>
        </w:rPr>
        <w:t>年终结转结余</w:t>
      </w:r>
      <w:r>
        <w:rPr>
          <w:rFonts w:hint="eastAsia" w:ascii="仿宋_GB2312" w:hAnsi="仿宋" w:cs="Times New Roman"/>
          <w:szCs w:val="32"/>
          <w:highlight w:val="none"/>
          <w:lang w:val="en-US" w:eastAsia="zh-CN"/>
        </w:rPr>
        <w:t>0万</w:t>
      </w:r>
      <w:r>
        <w:rPr>
          <w:rFonts w:hint="eastAsia" w:ascii="仿宋_GB2312" w:hAnsi="仿宋" w:cs="Times New Roman"/>
          <w:szCs w:val="32"/>
          <w:highlight w:val="none"/>
        </w:rPr>
        <w:t>元</w:t>
      </w:r>
      <w:r>
        <w:rPr>
          <w:rFonts w:hint="eastAsia" w:ascii="仿宋_GB2312" w:hAnsi="仿宋" w:cs="Times New Roman"/>
          <w:szCs w:val="32"/>
          <w:highlight w:val="none"/>
          <w:lang w:eastAsia="zh-CN"/>
        </w:rPr>
        <w:t>（</w:t>
      </w:r>
      <w:r>
        <w:rPr>
          <w:rFonts w:hint="eastAsia" w:ascii="仿宋_GB2312" w:hAnsi="仿宋" w:cs="Times New Roman"/>
          <w:szCs w:val="32"/>
          <w:highlight w:val="none"/>
        </w:rPr>
        <w:t>机关</w:t>
      </w:r>
      <w:r>
        <w:rPr>
          <w:rFonts w:hint="eastAsia" w:ascii="仿宋_GB2312" w:hAnsi="仿宋" w:cs="Times New Roman"/>
          <w:szCs w:val="32"/>
          <w:highlight w:val="none"/>
          <w:lang w:val="en-US" w:eastAsia="zh-CN"/>
        </w:rPr>
        <w:t>0万</w:t>
      </w:r>
      <w:r>
        <w:rPr>
          <w:rFonts w:hint="eastAsia" w:ascii="仿宋_GB2312" w:hAnsi="仿宋" w:cs="Times New Roman"/>
          <w:szCs w:val="32"/>
          <w:highlight w:val="none"/>
        </w:rPr>
        <w:t>元</w:t>
      </w:r>
      <w:r>
        <w:rPr>
          <w:rFonts w:hint="eastAsia" w:ascii="仿宋_GB2312" w:hAnsi="仿宋" w:cs="Times New Roman"/>
          <w:szCs w:val="32"/>
          <w:highlight w:val="none"/>
          <w:lang w:eastAsia="zh-CN"/>
        </w:rPr>
        <w:t>，</w:t>
      </w:r>
      <w:r>
        <w:rPr>
          <w:rFonts w:hint="eastAsia" w:ascii="仿宋_GB2312" w:hAnsi="仿宋" w:cs="Times New Roman"/>
          <w:szCs w:val="32"/>
          <w:highlight w:val="none"/>
        </w:rPr>
        <w:t>中心</w:t>
      </w:r>
      <w:r>
        <w:rPr>
          <w:rFonts w:hint="eastAsia" w:ascii="仿宋_GB2312" w:hAnsi="仿宋" w:cs="Times New Roman"/>
          <w:szCs w:val="32"/>
          <w:highlight w:val="none"/>
          <w:lang w:val="en-US" w:eastAsia="zh-CN"/>
        </w:rPr>
        <w:t>0万</w:t>
      </w:r>
      <w:r>
        <w:rPr>
          <w:rFonts w:hint="eastAsia" w:ascii="仿宋_GB2312" w:hAnsi="仿宋" w:cs="Times New Roman"/>
          <w:szCs w:val="32"/>
          <w:highlight w:val="none"/>
        </w:rPr>
        <w:t>元</w:t>
      </w:r>
      <w:r>
        <w:rPr>
          <w:rFonts w:hint="eastAsia" w:ascii="仿宋_GB2312" w:hAnsi="仿宋" w:cs="Times New Roman"/>
          <w:szCs w:val="32"/>
          <w:highlight w:val="none"/>
          <w:lang w:eastAsia="zh-CN"/>
        </w:rPr>
        <w:t>）</w:t>
      </w:r>
      <w:r>
        <w:rPr>
          <w:rFonts w:hint="eastAsia" w:ascii="仿宋_GB2312" w:hAnsi="仿宋" w:cs="Times New Roman"/>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 w:cs="Times New Roman"/>
          <w:szCs w:val="32"/>
          <w:highlight w:val="none"/>
        </w:rPr>
      </w:pPr>
      <w:r>
        <w:rPr>
          <w:rFonts w:hint="default" w:ascii="仿宋_GB2312" w:hAnsi="仿宋"/>
          <w:color w:val="auto"/>
          <w:szCs w:val="32"/>
          <w:highlight w:val="none"/>
          <w:lang w:val="en-US" w:eastAsia="zh-CN"/>
        </w:rPr>
        <w:t>20</w:t>
      </w:r>
      <w:r>
        <w:rPr>
          <w:rFonts w:hint="eastAsia" w:ascii="仿宋_GB2312" w:hAnsi="仿宋"/>
          <w:color w:val="auto"/>
          <w:szCs w:val="32"/>
          <w:highlight w:val="none"/>
          <w:lang w:val="en-US" w:eastAsia="zh-CN"/>
        </w:rPr>
        <w:t>21</w:t>
      </w:r>
      <w:r>
        <w:rPr>
          <w:rFonts w:hint="default" w:ascii="仿宋_GB2312" w:hAnsi="仿宋"/>
          <w:color w:val="auto"/>
          <w:szCs w:val="32"/>
          <w:highlight w:val="none"/>
          <w:lang w:val="en-US" w:eastAsia="zh-CN"/>
        </w:rPr>
        <w:t>年“三公”经费机关支出</w:t>
      </w:r>
      <w:r>
        <w:rPr>
          <w:rFonts w:hint="eastAsia" w:ascii="仿宋_GB2312" w:hAnsi="仿宋"/>
          <w:color w:val="auto"/>
          <w:szCs w:val="32"/>
          <w:highlight w:val="none"/>
          <w:lang w:val="en-US" w:eastAsia="zh-CN"/>
        </w:rPr>
        <w:t>4.24万</w:t>
      </w:r>
      <w:r>
        <w:rPr>
          <w:rFonts w:hint="default" w:ascii="仿宋_GB2312" w:hAnsi="仿宋"/>
          <w:color w:val="auto"/>
          <w:szCs w:val="32"/>
          <w:highlight w:val="none"/>
          <w:lang w:val="en-US" w:eastAsia="zh-CN"/>
        </w:rPr>
        <w:t>元，其中：公务用车购置及运行维护费</w:t>
      </w:r>
      <w:r>
        <w:rPr>
          <w:rFonts w:hint="eastAsia" w:ascii="仿宋_GB2312" w:hAnsi="仿宋"/>
          <w:color w:val="auto"/>
          <w:szCs w:val="32"/>
          <w:highlight w:val="none"/>
          <w:lang w:val="en-US" w:eastAsia="zh-CN"/>
        </w:rPr>
        <w:t>2.52万</w:t>
      </w:r>
      <w:r>
        <w:rPr>
          <w:rFonts w:hint="default" w:ascii="仿宋_GB2312" w:hAnsi="仿宋"/>
          <w:color w:val="auto"/>
          <w:szCs w:val="32"/>
          <w:highlight w:val="none"/>
          <w:lang w:val="en-US" w:eastAsia="zh-CN"/>
        </w:rPr>
        <w:t>元，公务接待费</w:t>
      </w:r>
      <w:r>
        <w:rPr>
          <w:rFonts w:hint="eastAsia" w:ascii="仿宋_GB2312" w:hAnsi="仿宋"/>
          <w:color w:val="auto"/>
          <w:szCs w:val="32"/>
          <w:highlight w:val="none"/>
          <w:lang w:val="en-US" w:eastAsia="zh-CN"/>
        </w:rPr>
        <w:t>1.72万</w:t>
      </w:r>
      <w:r>
        <w:rPr>
          <w:rFonts w:hint="default" w:ascii="仿宋_GB2312" w:hAnsi="仿宋"/>
          <w:color w:val="auto"/>
          <w:szCs w:val="32"/>
          <w:highlight w:val="none"/>
          <w:lang w:val="en-US" w:eastAsia="zh-CN"/>
        </w:rPr>
        <w:t>元，无因公出国（境）费</w:t>
      </w:r>
      <w:r>
        <w:rPr>
          <w:rFonts w:hint="eastAsia" w:ascii="仿宋_GB2312" w:hAnsi="仿宋"/>
          <w:color w:val="auto"/>
          <w:szCs w:val="32"/>
          <w:highlight w:val="none"/>
          <w:lang w:val="en-US" w:eastAsia="zh-CN"/>
        </w:rPr>
        <w:t>；</w:t>
      </w:r>
      <w:r>
        <w:rPr>
          <w:rFonts w:hint="default" w:ascii="仿宋_GB2312" w:hAnsi="仿宋"/>
          <w:color w:val="auto"/>
          <w:szCs w:val="32"/>
          <w:highlight w:val="none"/>
          <w:lang w:val="en-US" w:eastAsia="zh-CN"/>
        </w:rPr>
        <w:t>中心“三公”经费支出</w:t>
      </w:r>
      <w:r>
        <w:rPr>
          <w:rFonts w:hint="eastAsia" w:ascii="仿宋_GB2312" w:hAnsi="仿宋"/>
          <w:color w:val="auto"/>
          <w:szCs w:val="32"/>
          <w:highlight w:val="none"/>
          <w:lang w:val="en-US" w:eastAsia="zh-CN"/>
        </w:rPr>
        <w:t>1.77万</w:t>
      </w:r>
      <w:r>
        <w:rPr>
          <w:rFonts w:hint="default" w:ascii="仿宋_GB2312" w:hAnsi="仿宋"/>
          <w:color w:val="auto"/>
          <w:szCs w:val="32"/>
          <w:highlight w:val="none"/>
          <w:lang w:val="en-US" w:eastAsia="zh-CN"/>
        </w:rPr>
        <w:t>元，其中：公务用车购置及运行维护费</w:t>
      </w:r>
      <w:r>
        <w:rPr>
          <w:rFonts w:hint="eastAsia" w:ascii="仿宋_GB2312" w:hAnsi="仿宋"/>
          <w:color w:val="auto"/>
          <w:szCs w:val="32"/>
          <w:highlight w:val="none"/>
          <w:lang w:val="en-US" w:eastAsia="zh-CN"/>
        </w:rPr>
        <w:t>1.1万</w:t>
      </w:r>
      <w:r>
        <w:rPr>
          <w:rFonts w:hint="default" w:ascii="仿宋_GB2312" w:hAnsi="仿宋"/>
          <w:color w:val="auto"/>
          <w:szCs w:val="32"/>
          <w:highlight w:val="none"/>
          <w:lang w:val="en-US" w:eastAsia="zh-CN"/>
        </w:rPr>
        <w:t>元，公务接待费</w:t>
      </w:r>
      <w:r>
        <w:rPr>
          <w:rFonts w:hint="eastAsia" w:ascii="仿宋_GB2312" w:hAnsi="仿宋"/>
          <w:color w:val="auto"/>
          <w:szCs w:val="32"/>
          <w:highlight w:val="none"/>
          <w:lang w:val="en-US" w:eastAsia="zh-CN"/>
        </w:rPr>
        <w:t>0.67万</w:t>
      </w:r>
      <w:r>
        <w:rPr>
          <w:rFonts w:hint="default" w:ascii="仿宋_GB2312" w:hAnsi="仿宋"/>
          <w:color w:val="auto"/>
          <w:szCs w:val="32"/>
          <w:highlight w:val="none"/>
          <w:lang w:val="en-US" w:eastAsia="zh-CN"/>
        </w:rPr>
        <w:t>元，无因公出国（境）费。</w:t>
      </w:r>
      <w:r>
        <w:rPr>
          <w:rFonts w:hint="eastAsia" w:ascii="仿宋_GB2312" w:hAnsi="仿宋"/>
          <w:color w:val="auto"/>
          <w:szCs w:val="32"/>
          <w:highlight w:val="none"/>
          <w:lang w:val="en-US" w:eastAsia="zh-CN"/>
        </w:rPr>
        <w:t>三公经费支出总体较上年减少了11.78万元，主要原因为本年内公车维护费支出大幅减少。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 w:cs="Times New Roman"/>
          <w:szCs w:val="32"/>
          <w:highlight w:val="none"/>
          <w:lang w:eastAsia="zh-CN"/>
        </w:rPr>
      </w:pPr>
      <w:r>
        <w:rPr>
          <w:rFonts w:hint="eastAsia" w:ascii="仿宋_GB2312" w:hAnsi="仿宋" w:cs="Times New Roman"/>
          <w:szCs w:val="32"/>
          <w:highlight w:val="none"/>
        </w:rPr>
        <w:t>项目支出</w:t>
      </w:r>
      <w:r>
        <w:rPr>
          <w:rFonts w:hint="eastAsia" w:ascii="仿宋_GB2312" w:hAnsi="仿宋" w:cs="Times New Roman"/>
          <w:szCs w:val="32"/>
          <w:highlight w:val="none"/>
          <w:lang w:val="en-US" w:eastAsia="zh-CN"/>
        </w:rPr>
        <w:t>1069.77万</w:t>
      </w:r>
      <w:r>
        <w:rPr>
          <w:rFonts w:hint="eastAsia" w:ascii="仿宋_GB2312" w:hAnsi="仿宋" w:cs="Times New Roman"/>
          <w:szCs w:val="32"/>
          <w:highlight w:val="none"/>
        </w:rPr>
        <w:t>元（机关</w:t>
      </w:r>
      <w:r>
        <w:rPr>
          <w:rFonts w:hint="eastAsia" w:ascii="仿宋_GB2312" w:hAnsi="仿宋" w:cs="Times New Roman"/>
          <w:szCs w:val="32"/>
          <w:highlight w:val="none"/>
          <w:lang w:val="en-US" w:eastAsia="zh-CN"/>
        </w:rPr>
        <w:t>788.77万</w:t>
      </w:r>
      <w:r>
        <w:rPr>
          <w:rFonts w:hint="eastAsia" w:ascii="仿宋_GB2312" w:hAnsi="仿宋" w:cs="Times New Roman"/>
          <w:szCs w:val="32"/>
          <w:highlight w:val="none"/>
        </w:rPr>
        <w:t>元，中心</w:t>
      </w:r>
      <w:r>
        <w:rPr>
          <w:rFonts w:hint="eastAsia" w:ascii="仿宋_GB2312" w:hAnsi="仿宋" w:cs="Times New Roman"/>
          <w:szCs w:val="32"/>
          <w:highlight w:val="none"/>
          <w:lang w:val="en-US" w:eastAsia="zh-CN"/>
        </w:rPr>
        <w:t>280.99万</w:t>
      </w:r>
      <w:r>
        <w:rPr>
          <w:rFonts w:hint="eastAsia" w:ascii="仿宋_GB2312" w:hAnsi="仿宋" w:cs="Times New Roman"/>
          <w:szCs w:val="32"/>
          <w:highlight w:val="none"/>
        </w:rPr>
        <w:t>元）。项目支出主要有：</w:t>
      </w:r>
      <w:r>
        <w:rPr>
          <w:rFonts w:hint="eastAsia" w:ascii="仿宋_GB2312" w:hAnsi="仿宋" w:cs="Times New Roman"/>
          <w:szCs w:val="32"/>
          <w:highlight w:val="none"/>
          <w:lang w:eastAsia="zh-CN"/>
        </w:rPr>
        <w:t>行政运行</w:t>
      </w:r>
      <w:r>
        <w:rPr>
          <w:rFonts w:hint="eastAsia" w:ascii="仿宋_GB2312" w:hAnsi="仿宋" w:cs="Times New Roman"/>
          <w:szCs w:val="32"/>
          <w:highlight w:val="none"/>
          <w:lang w:val="en-US" w:eastAsia="zh-CN"/>
        </w:rPr>
        <w:t>78.39万元，</w:t>
      </w:r>
      <w:r>
        <w:rPr>
          <w:rFonts w:hint="eastAsia" w:ascii="仿宋_GB2312" w:hAnsi="仿宋" w:cs="Times New Roman"/>
          <w:szCs w:val="32"/>
          <w:highlight w:val="none"/>
        </w:rPr>
        <w:t>一般行政事务管理</w:t>
      </w:r>
      <w:r>
        <w:rPr>
          <w:rFonts w:hint="eastAsia" w:ascii="仿宋_GB2312" w:hAnsi="仿宋" w:cs="Times New Roman"/>
          <w:szCs w:val="32"/>
          <w:highlight w:val="none"/>
          <w:lang w:val="en-US" w:eastAsia="zh-CN"/>
        </w:rPr>
        <w:t>710.15万</w:t>
      </w:r>
      <w:r>
        <w:rPr>
          <w:rFonts w:hint="eastAsia" w:ascii="仿宋_GB2312" w:hAnsi="仿宋" w:cs="Times New Roman"/>
          <w:szCs w:val="32"/>
          <w:highlight w:val="none"/>
        </w:rPr>
        <w:t>元，残疾人就业和扶贫经费</w:t>
      </w:r>
      <w:r>
        <w:rPr>
          <w:rFonts w:hint="eastAsia" w:ascii="仿宋_GB2312" w:hAnsi="仿宋" w:cs="Times New Roman"/>
          <w:szCs w:val="32"/>
          <w:highlight w:val="none"/>
          <w:lang w:val="en-US" w:eastAsia="zh-CN"/>
        </w:rPr>
        <w:t>66.7万</w:t>
      </w:r>
      <w:r>
        <w:rPr>
          <w:rFonts w:hint="eastAsia" w:ascii="仿宋_GB2312" w:hAnsi="仿宋" w:cs="Times New Roman"/>
          <w:szCs w:val="32"/>
          <w:highlight w:val="none"/>
        </w:rPr>
        <w:t>元，其他残疾人事业支出</w:t>
      </w:r>
      <w:r>
        <w:rPr>
          <w:rFonts w:hint="eastAsia" w:ascii="仿宋_GB2312" w:hAnsi="仿宋" w:cs="Times New Roman"/>
          <w:szCs w:val="32"/>
          <w:highlight w:val="none"/>
          <w:lang w:val="en-US" w:eastAsia="zh-CN"/>
        </w:rPr>
        <w:t>186.53万</w:t>
      </w:r>
      <w:r>
        <w:rPr>
          <w:rFonts w:hint="eastAsia" w:ascii="仿宋_GB2312" w:hAnsi="仿宋" w:cs="Times New Roman"/>
          <w:szCs w:val="32"/>
          <w:highlight w:val="none"/>
        </w:rPr>
        <w:t>元，其他支出</w:t>
      </w:r>
      <w:r>
        <w:rPr>
          <w:rFonts w:hint="eastAsia" w:ascii="仿宋_GB2312" w:hAnsi="仿宋" w:cs="Times New Roman"/>
          <w:szCs w:val="32"/>
          <w:highlight w:val="none"/>
          <w:lang w:val="en-US" w:eastAsia="zh-CN"/>
        </w:rPr>
        <w:t>28万</w:t>
      </w:r>
      <w:r>
        <w:rPr>
          <w:rFonts w:hint="eastAsia" w:ascii="仿宋_GB2312" w:hAnsi="仿宋" w:cs="Times New Roman"/>
          <w:szCs w:val="32"/>
          <w:highlight w:val="none"/>
        </w:rPr>
        <w:t>元</w:t>
      </w:r>
      <w:r>
        <w:rPr>
          <w:rFonts w:hint="eastAsia" w:ascii="仿宋_GB2312" w:hAnsi="仿宋" w:cs="Times New Roman"/>
          <w:szCs w:val="32"/>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32" w:firstLineChars="200"/>
        <w:jc w:val="left"/>
        <w:textAlignment w:val="auto"/>
        <w:rPr>
          <w:rFonts w:ascii="黑体" w:hAnsi="黑体" w:eastAsia="黑体"/>
          <w:szCs w:val="32"/>
          <w:highlight w:val="none"/>
        </w:rPr>
      </w:pPr>
      <w:r>
        <w:rPr>
          <w:rFonts w:ascii="黑体" w:hAnsi="黑体" w:eastAsia="黑体"/>
          <w:szCs w:val="32"/>
          <w:highlight w:val="none"/>
        </w:rPr>
        <w:t>政府性基金预算支出情况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 w:cs="Times New Roman"/>
          <w:szCs w:val="32"/>
          <w:highlight w:val="none"/>
          <w:lang w:val="en-US" w:eastAsia="zh-CN"/>
        </w:rPr>
      </w:pPr>
      <w:r>
        <w:rPr>
          <w:rFonts w:hint="eastAsia" w:ascii="仿宋_GB2312" w:hAnsi="仿宋" w:cs="Times New Roman"/>
          <w:szCs w:val="32"/>
          <w:highlight w:val="none"/>
          <w:lang w:val="en-US" w:eastAsia="zh-CN"/>
        </w:rPr>
        <w:t>本单位无政府性基金预算支出。</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32" w:firstLineChars="200"/>
        <w:jc w:val="left"/>
        <w:textAlignment w:val="auto"/>
        <w:rPr>
          <w:rFonts w:ascii="黑体" w:hAnsi="黑体" w:eastAsia="黑体"/>
          <w:szCs w:val="32"/>
          <w:highlight w:val="none"/>
        </w:rPr>
      </w:pPr>
      <w:r>
        <w:rPr>
          <w:rFonts w:ascii="黑体" w:hAnsi="黑体" w:eastAsia="黑体"/>
          <w:szCs w:val="32"/>
          <w:highlight w:val="none"/>
        </w:rPr>
        <w:t>国有资本经营预算支出情况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 w:cs="Times New Roman"/>
          <w:szCs w:val="32"/>
          <w:highlight w:val="none"/>
          <w:lang w:val="en-US" w:eastAsia="zh-CN"/>
        </w:rPr>
      </w:pPr>
      <w:r>
        <w:rPr>
          <w:rFonts w:hint="eastAsia" w:ascii="仿宋_GB2312" w:hAnsi="仿宋" w:cs="Times New Roman"/>
          <w:szCs w:val="32"/>
          <w:highlight w:val="none"/>
          <w:lang w:val="en-US" w:eastAsia="zh-CN"/>
        </w:rPr>
        <w:t>本单位无国有资本经营预算支出。</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szCs w:val="32"/>
          <w:highlight w:val="none"/>
        </w:rPr>
      </w:pPr>
      <w:r>
        <w:rPr>
          <w:rFonts w:hint="eastAsia" w:ascii="黑体" w:hAnsi="黑体" w:eastAsia="黑体"/>
          <w:szCs w:val="32"/>
          <w:highlight w:val="none"/>
          <w:lang w:eastAsia="zh-CN"/>
        </w:rPr>
        <w:t>四</w:t>
      </w:r>
      <w:r>
        <w:rPr>
          <w:rFonts w:hint="eastAsia" w:ascii="黑体" w:hAnsi="黑体" w:eastAsia="黑体"/>
          <w:szCs w:val="32"/>
          <w:highlight w:val="none"/>
        </w:rPr>
        <w:t>、</w:t>
      </w:r>
      <w:r>
        <w:rPr>
          <w:rFonts w:ascii="黑体" w:hAnsi="黑体" w:eastAsia="黑体"/>
          <w:szCs w:val="32"/>
          <w:highlight w:val="none"/>
        </w:rPr>
        <w:t>社会保险基金预算支出情况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 w:cs="Times New Roman"/>
          <w:szCs w:val="32"/>
          <w:highlight w:val="none"/>
          <w:lang w:val="en-US" w:eastAsia="zh-CN"/>
        </w:rPr>
      </w:pPr>
      <w:r>
        <w:rPr>
          <w:rFonts w:hint="eastAsia" w:ascii="仿宋_GB2312" w:hAnsi="仿宋" w:cs="Times New Roman"/>
          <w:szCs w:val="32"/>
          <w:highlight w:val="none"/>
          <w:lang w:val="en-US" w:eastAsia="zh-CN"/>
        </w:rPr>
        <w:t>本单位无社会保险基金预算支出。</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5"/>
        <w:jc w:val="left"/>
        <w:textAlignment w:val="auto"/>
        <w:rPr>
          <w:rFonts w:ascii="黑体" w:hAnsi="黑体" w:eastAsia="黑体"/>
          <w:szCs w:val="32"/>
          <w:highlight w:val="none"/>
        </w:rPr>
      </w:pPr>
      <w:r>
        <w:rPr>
          <w:rFonts w:ascii="黑体" w:hAnsi="黑体" w:eastAsia="黑体"/>
          <w:szCs w:val="32"/>
          <w:highlight w:val="none"/>
        </w:rPr>
        <w:t>部门整体支出绩效情况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
          <w:color w:val="auto"/>
          <w:szCs w:val="32"/>
          <w:highlight w:val="none"/>
        </w:rPr>
      </w:pPr>
      <w:r>
        <w:rPr>
          <w:rFonts w:hint="default" w:ascii="仿宋_GB2312" w:hAnsi="仿宋"/>
          <w:color w:val="auto"/>
          <w:szCs w:val="32"/>
          <w:highlight w:val="none"/>
          <w:lang w:val="en-US" w:eastAsia="zh-CN"/>
        </w:rPr>
        <w:t>20</w:t>
      </w:r>
      <w:r>
        <w:rPr>
          <w:rFonts w:hint="eastAsia" w:ascii="仿宋_GB2312" w:hAnsi="仿宋"/>
          <w:color w:val="auto"/>
          <w:szCs w:val="32"/>
          <w:highlight w:val="none"/>
          <w:lang w:val="en-US" w:eastAsia="zh-CN"/>
        </w:rPr>
        <w:t>21</w:t>
      </w:r>
      <w:r>
        <w:rPr>
          <w:rFonts w:hint="default" w:ascii="仿宋_GB2312" w:hAnsi="仿宋"/>
          <w:color w:val="auto"/>
          <w:szCs w:val="32"/>
          <w:highlight w:val="none"/>
          <w:lang w:val="en-US" w:eastAsia="zh-CN"/>
        </w:rPr>
        <w:t>年，</w:t>
      </w:r>
      <w:r>
        <w:rPr>
          <w:rFonts w:hint="eastAsia" w:ascii="仿宋_GB2312" w:hAnsi="仿宋"/>
          <w:color w:val="auto"/>
          <w:szCs w:val="32"/>
          <w:highlight w:val="none"/>
        </w:rPr>
        <w:t>全市残疾人工作长足发展，服务残疾人的能力不断增强，广大残疾人获得感幸福感显提升，生活质量和生活环境不断改善。</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
          <w:color w:val="auto"/>
          <w:szCs w:val="32"/>
          <w:highlight w:val="none"/>
          <w:lang w:val="en-US" w:eastAsia="zh-CN"/>
        </w:rPr>
      </w:pPr>
      <w:r>
        <w:rPr>
          <w:rFonts w:hint="eastAsia" w:ascii="仿宋_GB2312" w:hAnsi="仿宋"/>
          <w:b w:val="0"/>
          <w:bCs w:val="0"/>
          <w:color w:val="auto"/>
          <w:szCs w:val="32"/>
          <w:highlight w:val="none"/>
          <w:lang w:val="en-US" w:eastAsia="zh-CN"/>
        </w:rPr>
        <w:t>残疾人基本民生不断改善。残疾人保障和福利政策全面落实。发放困难残疾人生活补贴381826人次、2672.89万元，发放重度残疾人护理补贴673235人次、4712.79万元。代缴残疾人养老保险45305名、401.13万元，代缴残疾人医疗保险107339名、2632.60万元。帮助99名适龄残疾儿童少年入学，选送13人到省特教中专就学，发放残疾人教育资助金865人、172.04万元。残疾人托养服务不断加强。加强托养机构规范化建设，开展第三方监测评估，举办全市托养业务培训班，残疾人托养服务水平不断提升。建立集中、居家托养机构20家，服务残疾人1335名。市残疾人托养服务中心获评省党建助残示范基地创建单位。赫山区残疾人托养服务规范有序、辅助性就业工作扎实有效。农村残疾人帮扶扎实开展。驻村帮扶工作深入开展。实施“联村联户、四帮四促”行动，全市结对帮扶8个村、113名残疾人；开展“接地气、去官气、传正气、转作风、惠民利”志愿服务活动，帮助村支两委和村民排忧解难。开展“阳光增收”行动，举办农村实用技术培训班，免费培训、帮扶630名残疾人。市残联、市农业农村局、市乡村振兴局举办全市残疾人乡村振兴人才培训班；协调市乡村振兴局、市水利局保障联系帮扶村南县华阁镇华南村饮水安全。</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
          <w:b w:val="0"/>
          <w:bCs w:val="0"/>
          <w:color w:val="auto"/>
          <w:szCs w:val="32"/>
          <w:highlight w:val="none"/>
          <w:lang w:val="en-US" w:eastAsia="zh-CN"/>
        </w:rPr>
      </w:pPr>
      <w:r>
        <w:rPr>
          <w:rFonts w:hint="eastAsia" w:ascii="仿宋_GB2312" w:hAnsi="仿宋"/>
          <w:b w:val="0"/>
          <w:bCs w:val="0"/>
          <w:color w:val="auto"/>
          <w:szCs w:val="32"/>
          <w:highlight w:val="none"/>
          <w:lang w:val="en-US" w:eastAsia="zh-CN"/>
        </w:rPr>
        <w:t>（二）残疾人身体健康水平不断提升。康复网络不断健全。建立覆盖全市的残疾人康复网络。17家残疾儿童定点康复机构、124家村（社区）残疾人康复站规范运行，康复机构家长学校康复培训广泛开展，康复触角延伸到村（社区）、家庭，残疾人实现就近就便康复。资阳区残联推进社区康复工作成效明显。残疾儿童康复救助任务超额完成。承担省重点民生实事项目——为560名残疾儿童提供康复救助4480人•月。全市康复救助938名残疾儿童，累计完成康复训练6742.22人•月，完成率达150.5%。市残联获评省、市先进单位，桃江县残联、南县残联获评全省优秀等次。精准康复服务深入推进。加大出生缺陷防治、残疾预防知识宣传力度，市民健康意识不断提高。免费适配轮椅、坐便器、助听器等辅助器具15462件，适配服务率达86.82%。市残联联合市第五人民医院开展“送医送药下乡”助残活动，服务精神障碍患者300名；实施“集爱三湘•光明助残——爱眼公益行”眼疾救助项目，救助白内障患者960名。</w:t>
      </w:r>
    </w:p>
    <w:p>
      <w:pPr>
        <w:keepNext w:val="0"/>
        <w:keepLines w:val="0"/>
        <w:pageBreakBefore w:val="0"/>
        <w:kinsoku/>
        <w:wordWrap/>
        <w:overflowPunct/>
        <w:topLinePunct w:val="0"/>
        <w:autoSpaceDE/>
        <w:autoSpaceDN/>
        <w:bidi w:val="0"/>
        <w:adjustRightInd/>
        <w:snapToGrid/>
        <w:spacing w:line="560" w:lineRule="exact"/>
        <w:ind w:firstLine="632"/>
        <w:jc w:val="both"/>
        <w:textAlignment w:val="auto"/>
        <w:rPr>
          <w:rFonts w:hint="eastAsia" w:ascii="仿宋_GB2312" w:hAnsi="仿宋"/>
          <w:color w:val="auto"/>
          <w:szCs w:val="32"/>
          <w:highlight w:val="none"/>
          <w:lang w:val="en-US" w:eastAsia="zh-CN"/>
        </w:rPr>
      </w:pPr>
      <w:r>
        <w:rPr>
          <w:rFonts w:hint="eastAsia" w:ascii="仿宋_GB2312" w:hAnsi="仿宋"/>
          <w:b w:val="0"/>
          <w:bCs w:val="0"/>
          <w:color w:val="auto"/>
          <w:szCs w:val="32"/>
          <w:highlight w:val="none"/>
          <w:lang w:val="en-US" w:eastAsia="zh-CN"/>
        </w:rPr>
        <w:t>（三）残疾人就业创业渠道不断拓宽。</w:t>
      </w:r>
      <w:r>
        <w:rPr>
          <w:rFonts w:hint="eastAsia" w:ascii="仿宋_GB2312"/>
          <w:highlight w:val="none"/>
        </w:rPr>
        <w:t>按比例就业依法推进。加强残疾人就业政策宣传和就业核定，依法征收残疾人就业保障金，促进按比例安排残疾人就业，全市新增就业残疾人924名</w:t>
      </w:r>
      <w:r>
        <w:rPr>
          <w:rFonts w:hint="eastAsia" w:ascii="仿宋_GB2312"/>
          <w:highlight w:val="none"/>
          <w:lang w:eastAsia="zh-CN"/>
        </w:rPr>
        <w:t>。</w:t>
      </w:r>
      <w:r>
        <w:rPr>
          <w:rFonts w:hint="eastAsia" w:ascii="仿宋_GB2312"/>
          <w:highlight w:val="none"/>
        </w:rPr>
        <w:t>就业帮扶广泛开展。开展就业援助月活动，举办残疾人专项招聘会8场，提供就业岗位267个。实施“点亮万家灯火”托底帮扶残疾人就业行动，投入122万元集中帮扶19家企业。打造市、县两级就业帮扶基地19个。创业扶持取得实效。投入135.3万元扶持139名残疾人创业。市残疾人创业孵化基地成功孵化9家残疾人企业，共实现营业额1280多万元。参加全省残疾人主播直播带货比赛获优秀组织奖。安化县、赫山区残疾人创业扶持取得良好效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
          <w:color w:val="auto"/>
          <w:szCs w:val="32"/>
          <w:highlight w:val="none"/>
          <w:lang w:val="en-US" w:eastAsia="zh-CN"/>
        </w:rPr>
      </w:pPr>
      <w:r>
        <w:rPr>
          <w:rFonts w:hint="eastAsia" w:ascii="仿宋_GB2312" w:hAnsi="仿宋"/>
          <w:b w:val="0"/>
          <w:bCs w:val="0"/>
          <w:color w:val="auto"/>
          <w:szCs w:val="32"/>
          <w:highlight w:val="none"/>
          <w:lang w:val="en-US" w:eastAsia="zh-CN"/>
        </w:rPr>
        <w:t>（四）残疾人精神文化生活丰富多彩。</w:t>
      </w:r>
      <w:r>
        <w:rPr>
          <w:rFonts w:hint="eastAsia" w:ascii="仿宋_GB2312" w:hAnsi="仿宋"/>
          <w:color w:val="auto"/>
          <w:szCs w:val="32"/>
          <w:highlight w:val="none"/>
          <w:lang w:val="en-US" w:eastAsia="zh-CN"/>
        </w:rPr>
        <w:t>残疾人文化活动广泛开展。残疾人文化服务走进特校、社区、家庭及残疾人托养、康复机构，盲文阅读推广走近普通市民。投入48.9万元开展“五个一”文化助残活动，受益残疾人1088人（户）。市特校学生绘画《北京冬奥会》入选全国残疾青少年冬奥、冬残奥主题绘画作品展。残疾人体育竞技成绩显著。2021年东京残奥会，我市运动员文晓燕获3金、打破2项世界纪录，金牌数在全省市州中排名第一。第十一届全国残运会，我市运动员文晓燕、晏亚平、黎旱年共获6金1银，金牌数在全省市州中排名第三。文晓燕当选亚洲残奥委2021年度“最佳女运动员”，担任北京冬残奥会主火炬手。文晓燕、晏亚平获评市优秀运动员标兵。市残联、桃江县残联、沅江市残联被市委、市政府授予全市参加东京奥运会等综合性运动会“突出贡献奖单位”。</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五）残疾人居家出行参与社会生活更加便利。无障碍环境建设深入推进。残疾人无障碍环境建设工作纳入党委、政府工作大局，无障碍理念日渐深入人心。新建、改扩建居住小区、居住建筑无障碍设施建设率显著提升，公共服务场所、商场超市无障碍设施更加完备。市民服务中心、市民文化中心无障碍停车位、低位服务台、无障碍通道等设施齐全，市图书馆及资阳区、南县图书馆建立了盲人阅览室。残疾人出行、购物、信息交流、参与社会生活与文化体育活动更为便利。困难残疾人家庭无障碍改造优质高效。市、县残联实施“一户一策”个性化改造，圆满高效完成省重点民生实事项目950户困难重度残疾人家庭无障碍改造任务，中心城区11个乡镇（街道）、75个村（社区）实现“动态清零”。成功承办“十四五”困难重度残疾人家庭无障碍改造部署推进现场会，中国残联副理事长相自成、省政府副省长陈文浩出席会议并讲话。市残联被省、市评为先进单位，桃江县残联、沅江市残联获评全省优秀等次。</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5" w:firstLineChars="0"/>
        <w:textAlignment w:val="auto"/>
        <w:rPr>
          <w:rFonts w:ascii="黑体" w:hAnsi="黑体" w:eastAsia="黑体"/>
          <w:szCs w:val="32"/>
          <w:highlight w:val="none"/>
        </w:rPr>
      </w:pPr>
      <w:r>
        <w:rPr>
          <w:rFonts w:ascii="黑体" w:hAnsi="黑体" w:eastAsia="黑体"/>
          <w:szCs w:val="32"/>
          <w:highlight w:val="none"/>
        </w:rPr>
        <w:t>存在的问题及原因分析</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Times New Roman" w:eastAsia="仿宋_GB2312" w:cs="Times New Roman"/>
          <w:szCs w:val="32"/>
          <w:highlight w:val="none"/>
          <w:lang w:val="en-US" w:eastAsia="zh-CN"/>
        </w:rPr>
      </w:pPr>
      <w:r>
        <w:rPr>
          <w:rFonts w:hint="eastAsia" w:ascii="仿宋_GB2312" w:hAnsi="Times New Roman" w:cs="Times New Roman"/>
          <w:szCs w:val="32"/>
          <w:highlight w:val="none"/>
          <w:lang w:eastAsia="zh-CN"/>
        </w:rPr>
        <w:t>残疾人民生项目的开展推进很大程度上依赖于残疾人就业保障金的征收，残疾人就业保障金如果出现短收或滞后将影响残疾人民生项目开展进度。因疫情影响和保障金征收政策调整，</w:t>
      </w:r>
      <w:r>
        <w:rPr>
          <w:rFonts w:hint="eastAsia" w:ascii="仿宋_GB2312" w:hAnsi="Times New Roman" w:cs="Times New Roman"/>
          <w:szCs w:val="32"/>
          <w:highlight w:val="none"/>
          <w:lang w:val="en-US" w:eastAsia="zh-CN"/>
        </w:rPr>
        <w:t>2021年残保金征收出现短收。</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5" w:firstLineChars="0"/>
        <w:textAlignment w:val="auto"/>
        <w:rPr>
          <w:rFonts w:ascii="黑体" w:hAnsi="黑体" w:eastAsia="黑体"/>
          <w:szCs w:val="32"/>
          <w:highlight w:val="none"/>
        </w:rPr>
      </w:pPr>
      <w:r>
        <w:rPr>
          <w:rFonts w:ascii="黑体" w:hAnsi="黑体" w:eastAsia="黑体"/>
          <w:szCs w:val="32"/>
          <w:highlight w:val="none"/>
        </w:rPr>
        <w:t>下一步改进措施</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Times New Roman" w:cs="Times New Roman"/>
          <w:szCs w:val="32"/>
          <w:highlight w:val="none"/>
          <w:lang w:eastAsia="zh-CN"/>
        </w:rPr>
      </w:pPr>
      <w:r>
        <w:rPr>
          <w:rFonts w:hint="eastAsia" w:ascii="仿宋_GB2312" w:hAnsi="Times New Roman" w:cs="Times New Roman"/>
          <w:szCs w:val="32"/>
          <w:highlight w:val="none"/>
          <w:lang w:eastAsia="zh-CN"/>
        </w:rPr>
        <w:t>市残联将进一步做好按比例安排残疾人就业核定工作，加强基础数据的准确性，并积极对接税务部门对征收残保金的企业进行统计核实，同时对接财政部门做好残疾人就业保障金的征收数据核对，做到应收尽收。</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ascii="黑体" w:hAnsi="黑体" w:eastAsia="黑体"/>
          <w:szCs w:val="32"/>
          <w:highlight w:val="none"/>
        </w:rPr>
      </w:pPr>
      <w:r>
        <w:rPr>
          <w:rFonts w:ascii="黑体" w:hAnsi="黑体" w:eastAsia="黑体"/>
          <w:szCs w:val="32"/>
          <w:highlight w:val="none"/>
        </w:rPr>
        <w:t>九、部门整体支出绩效自评结果拟应用和公开情况</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 w:eastAsia="仿宋_GB2312" w:cs="Times New Roman"/>
          <w:szCs w:val="32"/>
          <w:highlight w:val="none"/>
          <w:lang w:val="en-US" w:eastAsia="zh-CN"/>
        </w:rPr>
      </w:pPr>
      <w:r>
        <w:rPr>
          <w:rFonts w:hint="eastAsia" w:ascii="仿宋_GB2312" w:hAnsi="仿宋" w:cs="Times New Roman"/>
          <w:szCs w:val="32"/>
          <w:highlight w:val="none"/>
          <w:lang w:val="en-US" w:eastAsia="zh-CN"/>
        </w:rPr>
        <w:t>2021年市残联整体支出绩效自评99分，自评结果为“优秀”。</w:t>
      </w:r>
      <w:r>
        <w:rPr>
          <w:rFonts w:hint="eastAsia" w:ascii="仿宋_GB2312" w:hAnsi="Times New Roman" w:cs="Times New Roman"/>
          <w:szCs w:val="32"/>
          <w:highlight w:val="none"/>
        </w:rPr>
        <w:t>我们对20</w:t>
      </w:r>
      <w:r>
        <w:rPr>
          <w:rFonts w:hint="eastAsia" w:ascii="仿宋_GB2312" w:hAnsi="Times New Roman" w:cs="Times New Roman"/>
          <w:szCs w:val="32"/>
          <w:highlight w:val="none"/>
          <w:lang w:val="en-US" w:eastAsia="zh-CN"/>
        </w:rPr>
        <w:t>21</w:t>
      </w:r>
      <w:r>
        <w:rPr>
          <w:rFonts w:hint="eastAsia" w:ascii="仿宋_GB2312" w:hAnsi="Times New Roman" w:cs="Times New Roman"/>
          <w:szCs w:val="32"/>
          <w:highlight w:val="none"/>
        </w:rPr>
        <w:t>年部门整体支出的绩效评价是：支出金额较多，遵守了财务制度，用途合理有据，投向目标精准，发挥了资金效益，取得了明显成绩，改善了残疾人民生，促进了残疾人事业的发展</w:t>
      </w:r>
      <w:r>
        <w:rPr>
          <w:rFonts w:hint="eastAsia" w:ascii="仿宋_GB2312" w:hAnsi="Times New Roman" w:cs="Times New Roman"/>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 w:eastAsia="仿宋_GB2312" w:cs="Times New Roman"/>
          <w:szCs w:val="32"/>
          <w:highlight w:val="none"/>
          <w:lang w:eastAsia="zh-CN"/>
        </w:rPr>
      </w:pPr>
      <w:r>
        <w:rPr>
          <w:rFonts w:hint="eastAsia" w:ascii="仿宋_GB2312" w:hAnsi="仿宋" w:cs="Times New Roman"/>
          <w:szCs w:val="32"/>
          <w:highlight w:val="none"/>
        </w:rPr>
        <w:t>按照</w:t>
      </w:r>
      <w:r>
        <w:rPr>
          <w:rFonts w:hint="eastAsia" w:ascii="仿宋_GB2312" w:hAnsi="仿宋" w:cs="Times New Roman"/>
          <w:szCs w:val="32"/>
          <w:highlight w:val="none"/>
          <w:lang w:eastAsia="zh-CN"/>
        </w:rPr>
        <w:t>财政局通知</w:t>
      </w:r>
      <w:r>
        <w:rPr>
          <w:rFonts w:hint="eastAsia" w:ascii="仿宋_GB2312" w:hAnsi="仿宋" w:cs="Times New Roman"/>
          <w:szCs w:val="32"/>
          <w:highlight w:val="none"/>
        </w:rPr>
        <w:t>的要求，我会</w:t>
      </w:r>
      <w:r>
        <w:rPr>
          <w:rFonts w:hint="eastAsia" w:ascii="仿宋_GB2312" w:hAnsi="仿宋" w:cs="Times New Roman"/>
          <w:szCs w:val="32"/>
          <w:highlight w:val="none"/>
          <w:lang w:eastAsia="zh-CN"/>
        </w:rPr>
        <w:t>已</w:t>
      </w:r>
      <w:r>
        <w:rPr>
          <w:rFonts w:hint="eastAsia" w:ascii="仿宋_GB2312" w:hAnsi="仿宋" w:cs="Times New Roman"/>
          <w:szCs w:val="32"/>
          <w:highlight w:val="none"/>
        </w:rPr>
        <w:t>于</w:t>
      </w:r>
      <w:r>
        <w:rPr>
          <w:rFonts w:hint="eastAsia" w:ascii="仿宋_GB2312" w:hAnsi="仿宋" w:cs="Times New Roman"/>
          <w:szCs w:val="32"/>
          <w:highlight w:val="none"/>
          <w:lang w:val="en-US" w:eastAsia="zh-CN"/>
        </w:rPr>
        <w:t>如期</w:t>
      </w:r>
      <w:r>
        <w:rPr>
          <w:rFonts w:hint="eastAsia" w:ascii="仿宋_GB2312" w:hAnsi="仿宋" w:cs="Times New Roman"/>
          <w:szCs w:val="32"/>
          <w:highlight w:val="none"/>
        </w:rPr>
        <w:t>在市残联</w:t>
      </w:r>
      <w:r>
        <w:rPr>
          <w:rFonts w:hint="eastAsia" w:ascii="仿宋_GB2312" w:hAnsi="仿宋" w:cs="Times New Roman"/>
          <w:szCs w:val="32"/>
          <w:highlight w:val="none"/>
          <w:lang w:eastAsia="zh-CN"/>
        </w:rPr>
        <w:t>门户</w:t>
      </w:r>
      <w:r>
        <w:rPr>
          <w:rFonts w:hint="eastAsia" w:ascii="仿宋_GB2312" w:hAnsi="仿宋" w:cs="Times New Roman"/>
          <w:szCs w:val="32"/>
          <w:highlight w:val="none"/>
        </w:rPr>
        <w:t>网站上进行了</w:t>
      </w:r>
      <w:r>
        <w:rPr>
          <w:rFonts w:hint="eastAsia" w:ascii="仿宋_GB2312" w:hAnsi="仿宋" w:cs="Times New Roman"/>
          <w:szCs w:val="32"/>
          <w:highlight w:val="none"/>
          <w:lang w:eastAsia="zh-CN"/>
        </w:rPr>
        <w:t>部门绩效自评情况的公开。</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 w:eastAsia="仿宋_GB2312"/>
          <w:szCs w:val="32"/>
          <w:highlight w:val="none"/>
          <w:lang w:eastAsia="zh-CN"/>
        </w:rPr>
      </w:pPr>
      <w:r>
        <w:rPr>
          <w:rFonts w:ascii="仿宋_GB2312" w:hAnsi="仿宋"/>
          <w:szCs w:val="32"/>
          <w:highlight w:val="none"/>
        </w:rPr>
        <w:t>其他需要说明的情况</w:t>
      </w:r>
      <w:r>
        <w:rPr>
          <w:rFonts w:hint="eastAsia" w:ascii="仿宋_GB2312" w:hAnsi="仿宋"/>
          <w:szCs w:val="32"/>
          <w:highlight w:val="none"/>
          <w:lang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_GB2312" w:hAnsi="仿宋"/>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_GB2312" w:hAnsi="仿宋"/>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_GB2312" w:hAnsi="仿宋"/>
          <w:szCs w:val="32"/>
          <w:highlight w:val="none"/>
        </w:rPr>
      </w:pPr>
      <w:r>
        <w:rPr>
          <w:rFonts w:ascii="仿宋_GB2312" w:hAnsi="仿宋"/>
          <w:szCs w:val="32"/>
          <w:highlight w:val="none"/>
        </w:rPr>
        <w:t>附件：1</w:t>
      </w:r>
      <w:r>
        <w:rPr>
          <w:rFonts w:hint="eastAsia" w:ascii="仿宋_GB2312" w:hAnsi="仿宋"/>
          <w:szCs w:val="32"/>
          <w:highlight w:val="none"/>
          <w:lang w:val="en-US" w:eastAsia="zh-CN"/>
        </w:rPr>
        <w:t>.</w:t>
      </w:r>
      <w:r>
        <w:rPr>
          <w:rFonts w:ascii="仿宋_GB2312" w:hAnsi="仿宋"/>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1580" w:firstLineChars="500"/>
        <w:jc w:val="left"/>
        <w:textAlignment w:val="auto"/>
        <w:rPr>
          <w:rFonts w:ascii="仿宋_GB2312" w:hAnsi="仿宋"/>
          <w:szCs w:val="32"/>
          <w:highlight w:val="none"/>
        </w:rPr>
      </w:pPr>
      <w:r>
        <w:rPr>
          <w:rFonts w:ascii="仿宋_GB2312" w:hAnsi="仿宋"/>
          <w:szCs w:val="32"/>
          <w:highlight w:val="none"/>
        </w:rPr>
        <w:t>2</w:t>
      </w:r>
      <w:r>
        <w:rPr>
          <w:rFonts w:hint="eastAsia" w:ascii="仿宋_GB2312" w:hAnsi="仿宋"/>
          <w:szCs w:val="32"/>
          <w:highlight w:val="none"/>
          <w:lang w:eastAsia="zh-CN"/>
        </w:rPr>
        <w:t>.</w:t>
      </w:r>
      <w:r>
        <w:rPr>
          <w:rFonts w:ascii="仿宋_GB2312" w:hAnsi="仿宋"/>
          <w:szCs w:val="32"/>
          <w:highlight w:val="none"/>
        </w:rPr>
        <w:t>部门整体支出绩效自评表</w:t>
      </w:r>
    </w:p>
    <w:p>
      <w:pPr>
        <w:widowControl/>
        <w:spacing w:line="600" w:lineRule="exact"/>
        <w:ind w:firstLine="432" w:firstLineChars="200"/>
        <w:rPr>
          <w:rFonts w:ascii="Times New Roman" w:hAnsi="Times New Roman"/>
          <w:kern w:val="0"/>
          <w:sz w:val="22"/>
          <w:szCs w:val="24"/>
          <w:highlight w:val="none"/>
        </w:rPr>
      </w:pPr>
    </w:p>
    <w:p>
      <w:pPr>
        <w:widowControl/>
        <w:spacing w:line="600" w:lineRule="exact"/>
        <w:ind w:firstLine="432" w:firstLineChars="200"/>
        <w:rPr>
          <w:rFonts w:ascii="Times New Roman" w:hAnsi="Times New Roman"/>
          <w:kern w:val="0"/>
          <w:sz w:val="22"/>
          <w:szCs w:val="24"/>
          <w:highlight w:val="none"/>
        </w:rPr>
      </w:pPr>
    </w:p>
    <w:p>
      <w:pPr>
        <w:widowControl/>
        <w:spacing w:line="600" w:lineRule="exact"/>
        <w:ind w:firstLine="432" w:firstLineChars="200"/>
        <w:rPr>
          <w:rFonts w:ascii="Times New Roman" w:hAnsi="Times New Roman"/>
          <w:kern w:val="0"/>
          <w:sz w:val="22"/>
          <w:szCs w:val="24"/>
          <w:highlight w:val="none"/>
        </w:rPr>
      </w:pPr>
    </w:p>
    <w:p>
      <w:pPr>
        <w:widowControl/>
        <w:spacing w:line="600" w:lineRule="exact"/>
        <w:ind w:firstLine="432" w:firstLineChars="200"/>
        <w:rPr>
          <w:rFonts w:ascii="Times New Roman" w:hAnsi="Times New Roman"/>
          <w:kern w:val="0"/>
          <w:sz w:val="22"/>
          <w:szCs w:val="24"/>
          <w:highlight w:val="none"/>
        </w:rPr>
      </w:pPr>
    </w:p>
    <w:p>
      <w:pPr>
        <w:widowControl/>
        <w:spacing w:line="600" w:lineRule="exact"/>
        <w:ind w:firstLine="432" w:firstLineChars="200"/>
        <w:rPr>
          <w:rFonts w:ascii="Times New Roman" w:hAnsi="Times New Roman"/>
          <w:kern w:val="0"/>
          <w:sz w:val="22"/>
          <w:szCs w:val="24"/>
          <w:highlight w:val="none"/>
        </w:rPr>
      </w:pPr>
    </w:p>
    <w:p>
      <w:pPr>
        <w:widowControl/>
        <w:spacing w:line="600" w:lineRule="exact"/>
        <w:ind w:firstLine="432" w:firstLineChars="200"/>
        <w:rPr>
          <w:rFonts w:ascii="Times New Roman" w:hAnsi="Times New Roman"/>
          <w:kern w:val="0"/>
          <w:sz w:val="22"/>
          <w:szCs w:val="24"/>
          <w:highlight w:val="none"/>
        </w:rPr>
      </w:pPr>
    </w:p>
    <w:p>
      <w:pPr>
        <w:widowControl/>
        <w:spacing w:line="600" w:lineRule="exact"/>
        <w:ind w:firstLine="432" w:firstLineChars="200"/>
        <w:rPr>
          <w:rFonts w:ascii="Times New Roman" w:hAnsi="Times New Roman"/>
          <w:kern w:val="0"/>
          <w:sz w:val="22"/>
          <w:szCs w:val="24"/>
          <w:highlight w:val="none"/>
        </w:rPr>
      </w:pPr>
    </w:p>
    <w:p>
      <w:pPr>
        <w:widowControl/>
        <w:spacing w:line="400" w:lineRule="exact"/>
        <w:jc w:val="left"/>
        <w:rPr>
          <w:rFonts w:ascii="黑体" w:hAnsi="黑体" w:eastAsia="黑体"/>
          <w:szCs w:val="32"/>
          <w:highlight w:val="none"/>
        </w:rPr>
      </w:pPr>
    </w:p>
    <w:p>
      <w:pPr>
        <w:widowControl/>
        <w:spacing w:line="400" w:lineRule="exact"/>
        <w:jc w:val="left"/>
        <w:rPr>
          <w:rFonts w:ascii="黑体" w:hAnsi="黑体" w:eastAsia="黑体"/>
          <w:szCs w:val="32"/>
          <w:highlight w:val="none"/>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highlight w:val="none"/>
          <w:lang w:val="en-US" w:eastAsia="zh-CN"/>
        </w:rPr>
      </w:pPr>
      <w:r>
        <w:rPr>
          <w:rFonts w:eastAsia="黑体"/>
          <w:sz w:val="32"/>
          <w:szCs w:val="32"/>
          <w:highlight w:val="none"/>
        </w:rPr>
        <w:t>附件</w:t>
      </w:r>
      <w:r>
        <w:rPr>
          <w:rFonts w:hint="eastAsia" w:eastAsia="黑体"/>
          <w:sz w:val="32"/>
          <w:szCs w:val="32"/>
          <w:highlight w:val="none"/>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highlight w:val="none"/>
        </w:rPr>
      </w:pPr>
      <w:r>
        <w:rPr>
          <w:rFonts w:eastAsia="方正小标宋_GBK"/>
          <w:kern w:val="0"/>
          <w:sz w:val="36"/>
          <w:szCs w:val="36"/>
          <w:highlight w:val="none"/>
        </w:rPr>
        <w:t>202</w:t>
      </w:r>
      <w:r>
        <w:rPr>
          <w:rFonts w:hint="eastAsia" w:eastAsia="方正小标宋_GBK"/>
          <w:kern w:val="0"/>
          <w:sz w:val="36"/>
          <w:szCs w:val="36"/>
          <w:highlight w:val="none"/>
          <w:lang w:val="en-US" w:eastAsia="zh-CN"/>
        </w:rPr>
        <w:t>1</w:t>
      </w:r>
      <w:r>
        <w:rPr>
          <w:rFonts w:eastAsia="方正小标宋_GBK"/>
          <w:kern w:val="0"/>
          <w:sz w:val="36"/>
          <w:szCs w:val="36"/>
          <w:highlight w:val="none"/>
        </w:rPr>
        <w:t>年度部门整体支出绩效评价基础数据表</w:t>
      </w:r>
    </w:p>
    <w:tbl>
      <w:tblPr>
        <w:tblStyle w:val="4"/>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highlight w:val="none"/>
              </w:rPr>
            </w:pPr>
            <w:r>
              <w:rPr>
                <w:rFonts w:ascii="Times New Roman" w:hAnsi="Times New Roman" w:eastAsia="仿宋_GB2312" w:cs="Times New Roman"/>
                <w:b/>
                <w:bCs/>
                <w:kern w:val="0"/>
                <w:sz w:val="21"/>
                <w:szCs w:val="21"/>
                <w:highlight w:val="none"/>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highlight w:val="none"/>
              </w:rPr>
            </w:pPr>
            <w:r>
              <w:rPr>
                <w:rFonts w:ascii="Times New Roman" w:hAnsi="Times New Roman" w:eastAsia="仿宋_GB2312" w:cs="Times New Roman"/>
                <w:b/>
                <w:bCs/>
                <w:kern w:val="0"/>
                <w:sz w:val="21"/>
                <w:szCs w:val="21"/>
                <w:highlight w:val="none"/>
              </w:rPr>
              <w:t>202</w:t>
            </w:r>
            <w:r>
              <w:rPr>
                <w:rFonts w:hint="eastAsia" w:ascii="Times New Roman" w:hAnsi="Times New Roman" w:cs="Times New Roman"/>
                <w:b/>
                <w:bCs/>
                <w:kern w:val="0"/>
                <w:sz w:val="21"/>
                <w:szCs w:val="21"/>
                <w:highlight w:val="none"/>
                <w:lang w:val="en-US" w:eastAsia="zh-CN"/>
              </w:rPr>
              <w:t>1</w:t>
            </w:r>
            <w:r>
              <w:rPr>
                <w:rFonts w:ascii="Times New Roman" w:hAnsi="Times New Roman" w:eastAsia="仿宋_GB2312" w:cs="Times New Roman"/>
                <w:b/>
                <w:bCs/>
                <w:kern w:val="0"/>
                <w:sz w:val="21"/>
                <w:szCs w:val="21"/>
                <w:highlight w:val="none"/>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highlight w:val="none"/>
              </w:rPr>
            </w:pPr>
            <w:r>
              <w:rPr>
                <w:rFonts w:ascii="Times New Roman" w:hAnsi="Times New Roman" w:eastAsia="仿宋_GB2312" w:cs="Times New Roman"/>
                <w:b/>
                <w:bCs/>
                <w:kern w:val="0"/>
                <w:sz w:val="21"/>
                <w:szCs w:val="21"/>
                <w:highlight w:val="none"/>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22</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21</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highlight w:val="none"/>
              </w:rPr>
            </w:pPr>
            <w:r>
              <w:rPr>
                <w:rFonts w:ascii="Times New Roman" w:hAnsi="Times New Roman" w:eastAsia="仿宋_GB2312" w:cs="Times New Roman"/>
                <w:b/>
                <w:bCs/>
                <w:kern w:val="0"/>
                <w:sz w:val="21"/>
                <w:szCs w:val="21"/>
                <w:highlight w:val="none"/>
              </w:rPr>
              <w:t>20</w:t>
            </w:r>
            <w:r>
              <w:rPr>
                <w:rFonts w:hint="eastAsia" w:ascii="Times New Roman" w:hAnsi="Times New Roman" w:cs="Times New Roman"/>
                <w:b/>
                <w:bCs/>
                <w:kern w:val="0"/>
                <w:sz w:val="21"/>
                <w:szCs w:val="21"/>
                <w:highlight w:val="none"/>
                <w:lang w:val="en-US" w:eastAsia="zh-CN"/>
              </w:rPr>
              <w:t>20</w:t>
            </w:r>
            <w:r>
              <w:rPr>
                <w:rFonts w:ascii="Times New Roman" w:hAnsi="Times New Roman" w:eastAsia="仿宋_GB2312" w:cs="Times New Roman"/>
                <w:b/>
                <w:bCs/>
                <w:kern w:val="0"/>
                <w:sz w:val="21"/>
                <w:szCs w:val="21"/>
                <w:highlight w:val="none"/>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highlight w:val="none"/>
              </w:rPr>
            </w:pPr>
            <w:r>
              <w:rPr>
                <w:rFonts w:ascii="Times New Roman" w:hAnsi="Times New Roman" w:eastAsia="仿宋_GB2312" w:cs="Times New Roman"/>
                <w:b/>
                <w:bCs/>
                <w:kern w:val="0"/>
                <w:sz w:val="21"/>
                <w:szCs w:val="21"/>
                <w:highlight w:val="none"/>
              </w:rPr>
              <w:t>202</w:t>
            </w:r>
            <w:r>
              <w:rPr>
                <w:rFonts w:hint="eastAsia" w:ascii="Times New Roman" w:hAnsi="Times New Roman" w:cs="Times New Roman"/>
                <w:b/>
                <w:bCs/>
                <w:kern w:val="0"/>
                <w:sz w:val="21"/>
                <w:szCs w:val="21"/>
                <w:highlight w:val="none"/>
                <w:lang w:val="en-US" w:eastAsia="zh-CN"/>
              </w:rPr>
              <w:t>1</w:t>
            </w:r>
            <w:r>
              <w:rPr>
                <w:rFonts w:ascii="Times New Roman" w:hAnsi="Times New Roman" w:eastAsia="仿宋_GB2312" w:cs="Times New Roman"/>
                <w:b/>
                <w:bCs/>
                <w:kern w:val="0"/>
                <w:sz w:val="21"/>
                <w:szCs w:val="21"/>
                <w:highlight w:val="none"/>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highlight w:val="none"/>
              </w:rPr>
            </w:pPr>
            <w:r>
              <w:rPr>
                <w:rFonts w:ascii="Times New Roman" w:hAnsi="Times New Roman" w:eastAsia="仿宋_GB2312" w:cs="Times New Roman"/>
                <w:b/>
                <w:bCs/>
                <w:kern w:val="0"/>
                <w:sz w:val="21"/>
                <w:szCs w:val="21"/>
                <w:highlight w:val="none"/>
              </w:rPr>
              <w:t>202</w:t>
            </w:r>
            <w:r>
              <w:rPr>
                <w:rFonts w:hint="eastAsia" w:ascii="Times New Roman" w:hAnsi="Times New Roman" w:cs="Times New Roman"/>
                <w:b/>
                <w:bCs/>
                <w:kern w:val="0"/>
                <w:sz w:val="21"/>
                <w:szCs w:val="21"/>
                <w:highlight w:val="none"/>
                <w:lang w:val="en-US" w:eastAsia="zh-CN"/>
              </w:rPr>
              <w:t>1</w:t>
            </w:r>
            <w:r>
              <w:rPr>
                <w:rFonts w:ascii="Times New Roman" w:hAnsi="Times New Roman" w:eastAsia="仿宋_GB2312" w:cs="Times New Roman"/>
                <w:b/>
                <w:bCs/>
                <w:kern w:val="0"/>
                <w:sz w:val="21"/>
                <w:szCs w:val="21"/>
                <w:highlight w:val="none"/>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highlight w:val="none"/>
                <w:lang w:eastAsia="zh-CN"/>
              </w:rPr>
            </w:pPr>
            <w:r>
              <w:rPr>
                <w:rFonts w:hint="eastAsia" w:ascii="Times New Roman" w:hAnsi="Times New Roman" w:cs="Times New Roman"/>
                <w:b/>
                <w:bCs/>
                <w:kern w:val="0"/>
                <w:sz w:val="21"/>
                <w:szCs w:val="21"/>
                <w:highlight w:val="none"/>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1104.92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highlight w:val="none"/>
                <w:lang w:val="en-US" w:eastAsia="zh-CN"/>
              </w:rPr>
            </w:pPr>
            <w:r>
              <w:rPr>
                <w:rFonts w:hint="eastAsia" w:ascii="Times New Roman" w:hAnsi="Times New Roman" w:cs="Times New Roman"/>
                <w:b w:val="0"/>
                <w:bCs w:val="0"/>
                <w:kern w:val="0"/>
                <w:sz w:val="21"/>
                <w:szCs w:val="21"/>
                <w:highlight w:val="none"/>
                <w:lang w:val="en-US" w:eastAsia="zh-CN"/>
              </w:rPr>
              <w:t>1490.74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highlight w:val="none"/>
                <w:lang w:val="en-US" w:eastAsia="zh-CN"/>
              </w:rPr>
            </w:pPr>
            <w:r>
              <w:rPr>
                <w:rFonts w:hint="eastAsia" w:ascii="Times New Roman" w:hAnsi="Times New Roman" w:cs="Times New Roman"/>
                <w:b w:val="0"/>
                <w:bCs w:val="0"/>
                <w:kern w:val="0"/>
                <w:sz w:val="21"/>
                <w:szCs w:val="21"/>
                <w:highlight w:val="none"/>
                <w:lang w:val="en-US" w:eastAsia="zh-CN"/>
              </w:rPr>
              <w:t>1525.91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b/>
                <w:bCs/>
                <w:kern w:val="0"/>
                <w:sz w:val="21"/>
                <w:szCs w:val="21"/>
                <w:highlight w:val="none"/>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405.51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361.64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456.13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lang w:val="en-US" w:eastAsia="zh-CN" w:bidi="ar-SA"/>
              </w:rPr>
            </w:pPr>
            <w:r>
              <w:rPr>
                <w:rFonts w:ascii="Times New Roman" w:hAnsi="Times New Roman" w:eastAsia="仿宋_GB2312" w:cs="Times New Roman"/>
                <w:kern w:val="0"/>
                <w:sz w:val="21"/>
                <w:szCs w:val="21"/>
                <w:highlight w:val="none"/>
              </w:rPr>
              <w:t xml:space="preserve">    其中：</w:t>
            </w:r>
            <w:r>
              <w:rPr>
                <w:rFonts w:hint="eastAsia" w:ascii="Times New Roman" w:hAnsi="Times New Roman" w:cs="Times New Roman"/>
                <w:kern w:val="0"/>
                <w:sz w:val="21"/>
                <w:szCs w:val="21"/>
                <w:highlight w:val="none"/>
                <w:lang w:eastAsia="zh-CN"/>
              </w:rPr>
              <w:t>公用</w:t>
            </w:r>
            <w:r>
              <w:rPr>
                <w:rFonts w:ascii="Times New Roman" w:hAnsi="Times New Roman" w:eastAsia="仿宋_GB2312" w:cs="Times New Roman"/>
                <w:kern w:val="0"/>
                <w:sz w:val="21"/>
                <w:szCs w:val="21"/>
                <w:highlight w:val="none"/>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73.47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128.19</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142.38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lang w:val="en-US" w:eastAsia="zh-CN" w:bidi="ar-SA"/>
              </w:rPr>
            </w:pPr>
            <w:r>
              <w:rPr>
                <w:rFonts w:ascii="Times New Roman" w:hAnsi="Times New Roman" w:eastAsia="仿宋_GB2312" w:cs="Times New Roman"/>
                <w:b/>
                <w:bCs/>
                <w:kern w:val="0"/>
                <w:sz w:val="21"/>
                <w:szCs w:val="21"/>
                <w:highlight w:val="none"/>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699.41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highlight w:val="none"/>
              </w:rPr>
            </w:pPr>
            <w:r>
              <w:rPr>
                <w:rFonts w:hint="eastAsia" w:ascii="Times New Roman" w:hAnsi="Times New Roman" w:cs="Times New Roman"/>
                <w:kern w:val="0"/>
                <w:sz w:val="21"/>
                <w:szCs w:val="21"/>
                <w:highlight w:val="none"/>
                <w:lang w:val="en-US" w:eastAsia="zh-CN"/>
              </w:rPr>
              <w:t>1129.1</w:t>
            </w:r>
            <w:r>
              <w:rPr>
                <w:rFonts w:ascii="Times New Roman" w:hAnsi="Times New Roman" w:eastAsia="仿宋_GB2312" w:cs="Times New Roman"/>
                <w:kern w:val="0"/>
                <w:sz w:val="21"/>
                <w:szCs w:val="21"/>
                <w:highlight w:val="none"/>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1069.77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highlight w:val="none"/>
                <w:lang w:val="en-US" w:eastAsia="zh-CN"/>
              </w:rPr>
            </w:pPr>
            <w:r>
              <w:rPr>
                <w:rFonts w:ascii="Times New Roman" w:hAnsi="Times New Roman" w:eastAsia="仿宋_GB2312" w:cs="Times New Roman"/>
                <w:kern w:val="0"/>
                <w:sz w:val="21"/>
                <w:szCs w:val="21"/>
                <w:highlight w:val="none"/>
              </w:rPr>
              <w:t xml:space="preserve"> </w:t>
            </w:r>
            <w:r>
              <w:rPr>
                <w:rFonts w:hint="eastAsia" w:ascii="Times New Roman" w:hAnsi="Times New Roman" w:cs="Times New Roman"/>
                <w:kern w:val="0"/>
                <w:sz w:val="21"/>
                <w:szCs w:val="21"/>
                <w:highlight w:val="none"/>
                <w:lang w:val="en-US" w:eastAsia="zh-CN"/>
              </w:rPr>
              <w:t xml:space="preserve">   </w:t>
            </w:r>
            <w:r>
              <w:rPr>
                <w:rFonts w:hint="eastAsia" w:ascii="Times New Roman" w:hAnsi="Times New Roman" w:cs="Times New Roman"/>
                <w:kern w:val="0"/>
                <w:sz w:val="21"/>
                <w:szCs w:val="21"/>
                <w:highlight w:val="none"/>
                <w:lang w:eastAsia="zh-CN"/>
              </w:rPr>
              <w:t>其中：</w:t>
            </w:r>
            <w:r>
              <w:rPr>
                <w:rFonts w:hint="eastAsia" w:ascii="Times New Roman" w:hAnsi="Times New Roman" w:cs="Times New Roman"/>
                <w:kern w:val="0"/>
                <w:sz w:val="21"/>
                <w:szCs w:val="21"/>
                <w:highlight w:val="none"/>
                <w:lang w:val="en-US" w:eastAsia="zh-CN"/>
              </w:rPr>
              <w:t>1、运行维护经费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433.26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667.6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613.41</w:t>
            </w: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 xml:space="preserve">  </w:t>
            </w:r>
            <w:r>
              <w:rPr>
                <w:rFonts w:hint="eastAsia" w:ascii="Times New Roman" w:hAnsi="Times New Roman" w:cs="Times New Roman"/>
                <w:kern w:val="0"/>
                <w:sz w:val="21"/>
                <w:szCs w:val="21"/>
                <w:highlight w:val="none"/>
                <w:lang w:val="en-US" w:eastAsia="zh-CN"/>
              </w:rPr>
              <w:t xml:space="preserve">        2、</w:t>
            </w:r>
            <w:r>
              <w:rPr>
                <w:rFonts w:ascii="Times New Roman" w:hAnsi="Times New Roman" w:eastAsia="仿宋_GB2312" w:cs="Times New Roman"/>
                <w:kern w:val="0"/>
                <w:sz w:val="21"/>
                <w:szCs w:val="21"/>
                <w:highlight w:val="none"/>
              </w:rPr>
              <w:t>专项资金</w:t>
            </w:r>
          </w:p>
          <w:p>
            <w:pPr>
              <w:keepNext w:val="0"/>
              <w:keepLines w:val="0"/>
              <w:pageBreakBefore w:val="0"/>
              <w:widowControl/>
              <w:kinsoku/>
              <w:wordWrap/>
              <w:overflowPunct/>
              <w:topLinePunct w:val="0"/>
              <w:autoSpaceDE/>
              <w:autoSpaceDN/>
              <w:bidi w:val="0"/>
              <w:adjustRightInd/>
              <w:snapToGrid/>
              <w:spacing w:line="220" w:lineRule="exact"/>
              <w:ind w:firstLine="824" w:firstLineChars="400"/>
              <w:jc w:val="left"/>
              <w:textAlignment w:val="auto"/>
              <w:rPr>
                <w:rFonts w:ascii="Times New Roman" w:hAnsi="Times New Roman" w:eastAsia="仿宋_GB2312" w:cs="Times New Roman"/>
                <w:kern w:val="0"/>
                <w:sz w:val="21"/>
                <w:szCs w:val="21"/>
                <w:highlight w:val="none"/>
                <w:lang w:val="en-US" w:eastAsia="zh-CN" w:bidi="ar-SA"/>
              </w:rPr>
            </w:pPr>
            <w:r>
              <w:rPr>
                <w:rFonts w:ascii="Times New Roman" w:hAnsi="Times New Roman" w:eastAsia="仿宋_GB2312" w:cs="Times New Roman"/>
                <w:kern w:val="0"/>
                <w:sz w:val="21"/>
                <w:szCs w:val="21"/>
                <w:highlight w:val="none"/>
              </w:rPr>
              <w:t>（一个项</w:t>
            </w:r>
            <w:r>
              <w:rPr>
                <w:rFonts w:hint="eastAsia" w:ascii="Times New Roman" w:hAnsi="Times New Roman" w:cs="Times New Roman"/>
                <w:kern w:val="0"/>
                <w:sz w:val="21"/>
                <w:szCs w:val="21"/>
                <w:highlight w:val="none"/>
                <w:lang w:eastAsia="zh-CN"/>
              </w:rPr>
              <w:t>目</w:t>
            </w:r>
            <w:r>
              <w:rPr>
                <w:rFonts w:ascii="Times New Roman" w:hAnsi="Times New Roman" w:eastAsia="仿宋_GB2312" w:cs="Times New Roman"/>
                <w:kern w:val="0"/>
                <w:sz w:val="21"/>
                <w:szCs w:val="21"/>
                <w:highlight w:val="none"/>
              </w:rPr>
              <w:t xml:space="preserve">一行）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309.51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461.5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456.36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残疾人托养</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253.4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248.26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rPr>
              <w:t>残疾人综合服务平台建设</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108.1</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rPr>
            </w:pPr>
            <w:r>
              <w:rPr>
                <w:rFonts w:hint="eastAsia" w:ascii="Times New Roman" w:hAnsi="Times New Roman" w:cs="Times New Roman"/>
                <w:kern w:val="0"/>
                <w:sz w:val="21"/>
                <w:szCs w:val="21"/>
                <w:highlight w:val="none"/>
                <w:lang w:val="en-US" w:eastAsia="zh-CN"/>
              </w:rPr>
              <w:t>108.1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rPr>
              <w:t>困难残疾人家庭无障碍改造</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lang w:val="en-US" w:eastAsia="zh-CN" w:bidi="ar-SA"/>
              </w:rPr>
            </w:pPr>
            <w:r>
              <w:rPr>
                <w:rFonts w:ascii="Times New Roman" w:hAnsi="Times New Roman" w:eastAsia="仿宋_GB2312" w:cs="Times New Roman"/>
                <w:b/>
                <w:bCs/>
                <w:kern w:val="0"/>
                <w:sz w:val="21"/>
                <w:szCs w:val="21"/>
                <w:highlight w:val="none"/>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17.78</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17.1</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6.02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lang w:val="en-US" w:eastAsia="zh-CN" w:bidi="ar-SA"/>
              </w:rPr>
            </w:pPr>
            <w:r>
              <w:rPr>
                <w:rFonts w:ascii="Times New Roman" w:hAnsi="Times New Roman" w:eastAsia="仿宋_GB2312" w:cs="Times New Roman"/>
                <w:kern w:val="0"/>
                <w:sz w:val="21"/>
                <w:szCs w:val="21"/>
                <w:highlight w:val="none"/>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15.06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3.62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lang w:val="en-US" w:eastAsia="zh-CN" w:bidi="ar-SA"/>
              </w:rPr>
            </w:pPr>
            <w:r>
              <w:rPr>
                <w:rFonts w:ascii="Times New Roman" w:hAnsi="Times New Roman" w:eastAsia="仿宋_GB2312" w:cs="Times New Roman"/>
                <w:kern w:val="0"/>
                <w:sz w:val="21"/>
                <w:szCs w:val="21"/>
                <w:highlight w:val="none"/>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highlight w:val="none"/>
              </w:rPr>
            </w:pPr>
            <w:r>
              <w:rPr>
                <w:rFonts w:hint="eastAsia" w:ascii="Times New Roman" w:hAnsi="Times New Roman" w:cs="Times New Roman"/>
                <w:kern w:val="0"/>
                <w:sz w:val="21"/>
                <w:szCs w:val="21"/>
                <w:highlight w:val="none"/>
                <w:lang w:val="en-US" w:eastAsia="zh-CN"/>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lang w:val="en-US" w:eastAsia="zh-CN" w:bidi="ar-SA"/>
              </w:rPr>
            </w:pPr>
            <w:r>
              <w:rPr>
                <w:rFonts w:ascii="Times New Roman" w:hAnsi="Times New Roman" w:eastAsia="仿宋_GB2312" w:cs="Times New Roman"/>
                <w:kern w:val="0"/>
                <w:sz w:val="21"/>
                <w:szCs w:val="21"/>
                <w:highlight w:val="none"/>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15.06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3.62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lang w:val="en-US" w:eastAsia="zh-CN" w:bidi="ar-SA"/>
              </w:rPr>
            </w:pPr>
            <w:r>
              <w:rPr>
                <w:rFonts w:ascii="Times New Roman" w:hAnsi="Times New Roman" w:eastAsia="仿宋_GB2312" w:cs="Times New Roman"/>
                <w:kern w:val="0"/>
                <w:sz w:val="21"/>
                <w:szCs w:val="21"/>
                <w:highlight w:val="none"/>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lang w:val="en-US" w:eastAsia="zh-CN" w:bidi="ar-SA"/>
              </w:rPr>
            </w:pPr>
            <w:r>
              <w:rPr>
                <w:rFonts w:ascii="Times New Roman" w:hAnsi="Times New Roman" w:eastAsia="仿宋_GB2312" w:cs="Times New Roman"/>
                <w:kern w:val="0"/>
                <w:sz w:val="21"/>
                <w:szCs w:val="21"/>
                <w:highlight w:val="none"/>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FF0000"/>
                <w:kern w:val="0"/>
                <w:sz w:val="21"/>
                <w:szCs w:val="21"/>
                <w:highlight w:val="none"/>
                <w:lang w:val="en-US" w:eastAsia="zh-CN"/>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2.72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FF0000"/>
                <w:kern w:val="0"/>
                <w:sz w:val="21"/>
                <w:szCs w:val="21"/>
                <w:highlight w:val="none"/>
                <w:lang w:val="en-US" w:eastAsia="zh-CN"/>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3.1</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FF0000"/>
                <w:kern w:val="0"/>
                <w:sz w:val="21"/>
                <w:szCs w:val="21"/>
                <w:highlight w:val="none"/>
                <w:lang w:val="en-US" w:eastAsia="zh-CN"/>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2.4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b/>
                <w:bCs/>
                <w:kern w:val="0"/>
                <w:sz w:val="21"/>
                <w:szCs w:val="21"/>
                <w:highlight w:val="none"/>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37.14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319.84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319.84</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楼堂馆所控制情况</w:t>
            </w:r>
            <w:r>
              <w:rPr>
                <w:rFonts w:ascii="Times New Roman" w:hAnsi="Times New Roman" w:eastAsia="仿宋_GB2312" w:cs="Times New Roman"/>
                <w:kern w:val="0"/>
                <w:sz w:val="21"/>
                <w:szCs w:val="21"/>
                <w:highlight w:val="none"/>
              </w:rPr>
              <w:br w:type="textWrapping"/>
            </w:r>
            <w:r>
              <w:rPr>
                <w:rFonts w:ascii="Times New Roman" w:hAnsi="Times New Roman" w:eastAsia="仿宋_GB2312" w:cs="Times New Roman"/>
                <w:kern w:val="0"/>
                <w:sz w:val="21"/>
                <w:szCs w:val="21"/>
                <w:highlight w:val="none"/>
              </w:rPr>
              <w:t>（202</w:t>
            </w:r>
            <w:r>
              <w:rPr>
                <w:rFonts w:hint="eastAsia" w:ascii="Times New Roman" w:hAnsi="Times New Roman" w:cs="Times New Roman"/>
                <w:kern w:val="0"/>
                <w:sz w:val="21"/>
                <w:szCs w:val="21"/>
                <w:highlight w:val="none"/>
                <w:lang w:val="en-US" w:eastAsia="zh-CN"/>
              </w:rPr>
              <w:t>1</w:t>
            </w:r>
            <w:r>
              <w:rPr>
                <w:rFonts w:ascii="Times New Roman" w:hAnsi="Times New Roman" w:eastAsia="仿宋_GB2312" w:cs="Times New Roman"/>
                <w:kern w:val="0"/>
                <w:sz w:val="21"/>
                <w:szCs w:val="21"/>
                <w:highlight w:val="none"/>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批复规模</w:t>
            </w:r>
            <w:r>
              <w:rPr>
                <w:rFonts w:ascii="Times New Roman" w:hAnsi="Times New Roman" w:eastAsia="仿宋_GB2312" w:cs="Times New Roman"/>
                <w:kern w:val="0"/>
                <w:sz w:val="21"/>
                <w:szCs w:val="21"/>
                <w:highlight w:val="none"/>
              </w:rPr>
              <w:br w:type="textWrapping"/>
            </w:r>
            <w:r>
              <w:rPr>
                <w:rFonts w:ascii="Times New Roman" w:hAnsi="Times New Roman" w:eastAsia="仿宋_GB2312" w:cs="Times New Roman"/>
                <w:kern w:val="0"/>
                <w:sz w:val="21"/>
                <w:szCs w:val="21"/>
                <w:highlight w:val="none"/>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投资概算控制率</w:t>
            </w:r>
          </w:p>
        </w:tc>
      </w:tr>
      <w:tr>
        <w:tblPrEx>
          <w:tblCellMar>
            <w:top w:w="0" w:type="dxa"/>
            <w:left w:w="108" w:type="dxa"/>
            <w:bottom w:w="0" w:type="dxa"/>
            <w:right w:w="108" w:type="dxa"/>
          </w:tblCellMar>
        </w:tblPrEx>
        <w:trPr>
          <w:trHeight w:val="349"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　</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　</w:t>
            </w:r>
          </w:p>
        </w:tc>
      </w:tr>
      <w:tr>
        <w:tblPrEx>
          <w:tblCellMar>
            <w:top w:w="0" w:type="dxa"/>
            <w:left w:w="108" w:type="dxa"/>
            <w:bottom w:w="0" w:type="dxa"/>
            <w:right w:w="108" w:type="dxa"/>
          </w:tblCellMar>
        </w:tblPrEx>
        <w:trPr>
          <w:trHeight w:val="676"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highlight w:val="none"/>
          <w:lang w:eastAsia="zh-CN"/>
        </w:rPr>
      </w:pPr>
      <w:r>
        <w:rPr>
          <w:rFonts w:eastAsia="仿宋_GB2312"/>
          <w:kern w:val="0"/>
          <w:sz w:val="22"/>
          <w:szCs w:val="24"/>
          <w:highlight w:val="none"/>
        </w:rPr>
        <w:t>说明：“公用经费”填报基本支出中的一般商品和服务支出。“项目支出”需要填报基本支出以外的所有项目支出情况，</w:t>
      </w:r>
      <w:r>
        <w:rPr>
          <w:rFonts w:hint="eastAsia"/>
          <w:kern w:val="0"/>
          <w:sz w:val="22"/>
          <w:szCs w:val="24"/>
          <w:highlight w:val="none"/>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highlight w:val="none"/>
          <w:lang w:val="en-US" w:eastAsia="zh-CN"/>
        </w:rPr>
      </w:pPr>
      <w:r>
        <w:rPr>
          <w:rFonts w:eastAsia="仿宋_GB2312"/>
          <w:kern w:val="0"/>
          <w:sz w:val="22"/>
          <w:szCs w:val="24"/>
          <w:highlight w:val="none"/>
        </w:rPr>
        <w:t>填表人：        填报日期：          联系电话：            单位负责人签字：</w:t>
      </w:r>
      <w:r>
        <w:rPr>
          <w:rFonts w:eastAsia="仿宋_GB2312"/>
          <w:kern w:val="0"/>
          <w:sz w:val="22"/>
          <w:szCs w:val="24"/>
          <w:highlight w:val="none"/>
        </w:rPr>
        <w:br w:type="page"/>
      </w:r>
      <w:r>
        <w:rPr>
          <w:rFonts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highlight w:val="none"/>
        </w:rPr>
      </w:pPr>
      <w:r>
        <w:rPr>
          <w:rFonts w:ascii="Times New Roman" w:hAnsi="Times New Roman" w:eastAsia="方正小标宋_GBK" w:cs="Times New Roman"/>
          <w:color w:val="000000"/>
          <w:kern w:val="0"/>
          <w:sz w:val="36"/>
          <w:szCs w:val="36"/>
          <w:highlight w:val="none"/>
        </w:rPr>
        <w:t>202</w:t>
      </w:r>
      <w:r>
        <w:rPr>
          <w:rFonts w:hint="eastAsia" w:ascii="Times New Roman" w:hAnsi="Times New Roman" w:eastAsia="方正小标宋_GBK" w:cs="Times New Roman"/>
          <w:color w:val="000000"/>
          <w:kern w:val="0"/>
          <w:sz w:val="36"/>
          <w:szCs w:val="36"/>
          <w:highlight w:val="none"/>
          <w:lang w:val="en-US" w:eastAsia="zh-CN"/>
        </w:rPr>
        <w:t>1</w:t>
      </w:r>
      <w:r>
        <w:rPr>
          <w:rFonts w:ascii="Times New Roman" w:hAnsi="Times New Roman" w:eastAsia="方正小标宋_GBK" w:cs="Times New Roman"/>
          <w:color w:val="000000"/>
          <w:kern w:val="0"/>
          <w:sz w:val="36"/>
          <w:szCs w:val="36"/>
          <w:highlight w:val="none"/>
        </w:rPr>
        <w:t>年度部门整体支出绩效自评表</w:t>
      </w:r>
    </w:p>
    <w:tbl>
      <w:tblPr>
        <w:tblStyle w:val="4"/>
        <w:tblW w:w="10420" w:type="dxa"/>
        <w:jc w:val="center"/>
        <w:tblLayout w:type="autofit"/>
        <w:tblCellMar>
          <w:top w:w="0" w:type="dxa"/>
          <w:left w:w="108" w:type="dxa"/>
          <w:bottom w:w="0" w:type="dxa"/>
          <w:right w:w="108" w:type="dxa"/>
        </w:tblCellMar>
      </w:tblPr>
      <w:tblGrid>
        <w:gridCol w:w="965"/>
        <w:gridCol w:w="704"/>
        <w:gridCol w:w="1146"/>
        <w:gridCol w:w="1531"/>
        <w:gridCol w:w="1484"/>
        <w:gridCol w:w="1522"/>
        <w:gridCol w:w="780"/>
        <w:gridCol w:w="698"/>
        <w:gridCol w:w="1590"/>
      </w:tblGrid>
      <w:tr>
        <w:tblPrEx>
          <w:tblCellMar>
            <w:top w:w="0" w:type="dxa"/>
            <w:left w:w="108" w:type="dxa"/>
            <w:bottom w:w="0" w:type="dxa"/>
            <w:right w:w="108" w:type="dxa"/>
          </w:tblCellMar>
        </w:tblPrEx>
        <w:trPr>
          <w:trHeight w:val="325"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预算部门</w:t>
            </w:r>
          </w:p>
        </w:tc>
        <w:tc>
          <w:tcPr>
            <w:tcW w:w="945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hint="eastAsia" w:ascii="Times New Roman" w:hAnsi="Times New Roman" w:cs="Times New Roman"/>
                <w:color w:val="000000"/>
                <w:kern w:val="0"/>
                <w:sz w:val="21"/>
                <w:szCs w:val="21"/>
                <w:highlight w:val="none"/>
              </w:rPr>
              <w:t>益阳市残疾人联合会</w:t>
            </w:r>
            <w:r>
              <w:rPr>
                <w:rFonts w:hint="eastAsia" w:ascii="Times New Roman" w:hAnsi="Times New Roman" w:cs="Times New Roman"/>
                <w:color w:val="000000"/>
                <w:kern w:val="0"/>
                <w:sz w:val="21"/>
                <w:szCs w:val="21"/>
                <w:highlight w:val="none"/>
                <w:lang w:eastAsia="zh-CN"/>
              </w:rPr>
              <w:t>（会机关、市残疾人劳动就业服务中心共2个单位）</w:t>
            </w:r>
          </w:p>
        </w:tc>
      </w:tr>
      <w:tr>
        <w:tblPrEx>
          <w:tblCellMar>
            <w:top w:w="0" w:type="dxa"/>
            <w:left w:w="108" w:type="dxa"/>
            <w:bottom w:w="0" w:type="dxa"/>
            <w:right w:w="108" w:type="dxa"/>
          </w:tblCellMar>
        </w:tblPrEx>
        <w:trPr>
          <w:jc w:val="center"/>
        </w:trPr>
        <w:tc>
          <w:tcPr>
            <w:tcW w:w="97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年度预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算申请</w:t>
            </w:r>
            <w:r>
              <w:rPr>
                <w:rFonts w:ascii="Times New Roman" w:hAnsi="Times New Roman" w:eastAsia="仿宋_GB2312" w:cs="Times New Roman"/>
                <w:color w:val="000000"/>
                <w:kern w:val="0"/>
                <w:sz w:val="21"/>
                <w:szCs w:val="21"/>
                <w:highlight w:val="none"/>
              </w:rPr>
              <w:br w:type="textWrapping"/>
            </w:r>
            <w:r>
              <w:rPr>
                <w:rFonts w:ascii="Times New Roman" w:hAnsi="Times New Roman" w:eastAsia="仿宋_GB2312" w:cs="Times New Roman"/>
                <w:color w:val="000000"/>
                <w:kern w:val="0"/>
                <w:sz w:val="21"/>
                <w:szCs w:val="21"/>
                <w:highlight w:val="none"/>
              </w:rPr>
              <w:t>（万元）</w:t>
            </w:r>
          </w:p>
        </w:tc>
        <w:tc>
          <w:tcPr>
            <w:tcW w:w="18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highlight w:val="none"/>
              </w:rPr>
            </w:pP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预算数</w:t>
            </w:r>
          </w:p>
        </w:tc>
        <w:tc>
          <w:tcPr>
            <w:tcW w:w="14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全年预算数</w:t>
            </w:r>
          </w:p>
        </w:tc>
        <w:tc>
          <w:tcPr>
            <w:tcW w:w="15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全年执行数</w:t>
            </w: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分值</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执行率</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得分</w:t>
            </w:r>
          </w:p>
        </w:tc>
      </w:tr>
      <w:tr>
        <w:tblPrEx>
          <w:tblCellMar>
            <w:top w:w="0" w:type="dxa"/>
            <w:left w:w="108" w:type="dxa"/>
            <w:bottom w:w="0" w:type="dxa"/>
            <w:right w:w="108" w:type="dxa"/>
          </w:tblCellMar>
        </w:tblPrEx>
        <w:trPr>
          <w:jc w:val="center"/>
        </w:trPr>
        <w:tc>
          <w:tcPr>
            <w:tcW w:w="97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p>
        </w:tc>
        <w:tc>
          <w:tcPr>
            <w:tcW w:w="18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年度资金总额</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lang w:val="en-US" w:eastAsia="zh-CN"/>
              </w:rPr>
            </w:pPr>
            <w:r>
              <w:rPr>
                <w:rFonts w:hint="eastAsia" w:ascii="Times New Roman" w:hAnsi="Times New Roman" w:cs="Times New Roman"/>
                <w:sz w:val="21"/>
                <w:szCs w:val="21"/>
                <w:highlight w:val="none"/>
                <w:lang w:val="en-US" w:eastAsia="zh-CN"/>
              </w:rPr>
              <w:t>1490.74</w:t>
            </w:r>
          </w:p>
        </w:tc>
        <w:tc>
          <w:tcPr>
            <w:tcW w:w="14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lang w:val="en-US" w:eastAsia="zh-CN"/>
              </w:rPr>
            </w:pPr>
            <w:r>
              <w:rPr>
                <w:rFonts w:hint="eastAsia" w:ascii="Times New Roman" w:hAnsi="Times New Roman" w:cs="Times New Roman"/>
                <w:sz w:val="21"/>
                <w:szCs w:val="21"/>
                <w:highlight w:val="none"/>
                <w:lang w:val="en-US" w:eastAsia="zh-CN"/>
              </w:rPr>
              <w:t>1220.83</w:t>
            </w:r>
          </w:p>
        </w:tc>
        <w:tc>
          <w:tcPr>
            <w:tcW w:w="15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lang w:val="en-US" w:eastAsia="zh-CN"/>
              </w:rPr>
            </w:pPr>
            <w:r>
              <w:rPr>
                <w:rFonts w:hint="eastAsia" w:ascii="Times New Roman" w:hAnsi="Times New Roman" w:cs="Times New Roman"/>
                <w:sz w:val="21"/>
                <w:szCs w:val="21"/>
                <w:highlight w:val="none"/>
                <w:lang w:val="en-US" w:eastAsia="zh-CN"/>
              </w:rPr>
              <w:t>1220.83</w:t>
            </w: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sz w:val="21"/>
                <w:szCs w:val="21"/>
                <w:highlight w:val="none"/>
                <w:lang w:eastAsia="zh-CN"/>
              </w:rPr>
            </w:pPr>
            <w:r>
              <w:rPr>
                <w:rFonts w:ascii="Times New Roman" w:hAnsi="Times New Roman" w:eastAsia="仿宋_GB2312" w:cs="Times New Roman"/>
                <w:sz w:val="21"/>
                <w:szCs w:val="21"/>
                <w:highlight w:val="none"/>
              </w:rPr>
              <w:t>10</w:t>
            </w:r>
            <w:r>
              <w:rPr>
                <w:rFonts w:hint="eastAsia" w:ascii="Times New Roman" w:hAnsi="Times New Roman" w:cs="Times New Roman"/>
                <w:sz w:val="21"/>
                <w:szCs w:val="21"/>
                <w:highlight w:val="none"/>
                <w:lang w:eastAsia="zh-CN"/>
              </w:rPr>
              <w:t>分</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lang w:val="en-US" w:eastAsia="zh-CN"/>
              </w:rPr>
            </w:pPr>
            <w:r>
              <w:rPr>
                <w:rFonts w:hint="eastAsia" w:ascii="Times New Roman" w:hAnsi="Times New Roman" w:cs="Times New Roman"/>
                <w:sz w:val="21"/>
                <w:szCs w:val="21"/>
                <w:highlight w:val="none"/>
                <w:lang w:val="en-US" w:eastAsia="zh-CN"/>
              </w:rPr>
              <w:t>100%</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lang w:val="en-US" w:eastAsia="zh-CN"/>
              </w:rPr>
            </w:pPr>
            <w:r>
              <w:rPr>
                <w:rFonts w:hint="eastAsia" w:ascii="Times New Roman" w:hAnsi="Times New Roman" w:cs="Times New Roman"/>
                <w:sz w:val="21"/>
                <w:szCs w:val="21"/>
                <w:highlight w:val="none"/>
                <w:lang w:val="en-US" w:eastAsia="zh-CN"/>
              </w:rPr>
              <w:t>10</w:t>
            </w: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489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按收入性质分：</w:t>
            </w:r>
            <w:r>
              <w:rPr>
                <w:rFonts w:hint="eastAsia" w:ascii="Times New Roman" w:hAnsi="Times New Roman" w:cs="Times New Roman"/>
                <w:sz w:val="21"/>
                <w:szCs w:val="21"/>
                <w:highlight w:val="none"/>
                <w:lang w:val="en-US" w:eastAsia="zh-CN"/>
              </w:rPr>
              <w:t>1490.74万元</w:t>
            </w:r>
          </w:p>
        </w:tc>
        <w:tc>
          <w:tcPr>
            <w:tcW w:w="456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按支出性质分：</w:t>
            </w:r>
            <w:r>
              <w:rPr>
                <w:rFonts w:hint="eastAsia" w:ascii="Times New Roman" w:hAnsi="Times New Roman" w:cs="Times New Roman"/>
                <w:sz w:val="21"/>
                <w:szCs w:val="21"/>
                <w:highlight w:val="none"/>
                <w:lang w:val="en-US" w:eastAsia="zh-CN"/>
              </w:rPr>
              <w:t>1490.74万元</w:t>
            </w: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489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 xml:space="preserve">  其中：  一般公共预算：</w:t>
            </w:r>
            <w:r>
              <w:rPr>
                <w:rFonts w:hint="eastAsia" w:ascii="Times New Roman" w:hAnsi="Times New Roman" w:cs="Times New Roman"/>
                <w:sz w:val="21"/>
                <w:szCs w:val="21"/>
                <w:highlight w:val="none"/>
                <w:lang w:val="en-US" w:eastAsia="zh-CN"/>
              </w:rPr>
              <w:t>1490.74万元</w:t>
            </w:r>
          </w:p>
        </w:tc>
        <w:tc>
          <w:tcPr>
            <w:tcW w:w="456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highlight w:val="none"/>
                <w:lang w:val="en-US" w:eastAsia="zh-CN"/>
              </w:rPr>
            </w:pPr>
            <w:r>
              <w:rPr>
                <w:rFonts w:ascii="Times New Roman" w:hAnsi="Times New Roman" w:eastAsia="仿宋_GB2312" w:cs="Times New Roman"/>
                <w:color w:val="000000"/>
                <w:kern w:val="0"/>
                <w:sz w:val="21"/>
                <w:szCs w:val="21"/>
                <w:highlight w:val="none"/>
              </w:rPr>
              <w:t>其中：基本支出：</w:t>
            </w:r>
            <w:r>
              <w:rPr>
                <w:rFonts w:hint="eastAsia" w:ascii="Times New Roman" w:hAnsi="Times New Roman" w:cs="Times New Roman"/>
                <w:color w:val="000000"/>
                <w:kern w:val="0"/>
                <w:sz w:val="21"/>
                <w:szCs w:val="21"/>
                <w:highlight w:val="none"/>
                <w:lang w:val="en-US" w:eastAsia="zh-CN"/>
              </w:rPr>
              <w:t>361.64万元</w:t>
            </w: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489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824" w:firstLineChars="400"/>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政府性基金拨款：</w:t>
            </w:r>
          </w:p>
        </w:tc>
        <w:tc>
          <w:tcPr>
            <w:tcW w:w="456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18" w:firstLineChars="300"/>
              <w:jc w:val="left"/>
              <w:textAlignment w:val="auto"/>
              <w:rPr>
                <w:rFonts w:hint="default" w:ascii="Times New Roman" w:hAnsi="Times New Roman" w:eastAsia="仿宋_GB2312" w:cs="Times New Roman"/>
                <w:color w:val="000000"/>
                <w:kern w:val="0"/>
                <w:sz w:val="21"/>
                <w:szCs w:val="21"/>
                <w:highlight w:val="none"/>
                <w:lang w:val="en-US" w:eastAsia="zh-CN"/>
              </w:rPr>
            </w:pPr>
            <w:r>
              <w:rPr>
                <w:rFonts w:ascii="Times New Roman" w:hAnsi="Times New Roman" w:eastAsia="仿宋_GB2312" w:cs="Times New Roman"/>
                <w:color w:val="000000"/>
                <w:kern w:val="0"/>
                <w:sz w:val="21"/>
                <w:szCs w:val="21"/>
                <w:highlight w:val="none"/>
              </w:rPr>
              <w:t>项目支出：</w:t>
            </w:r>
            <w:r>
              <w:rPr>
                <w:rFonts w:hint="eastAsia" w:ascii="Times New Roman" w:hAnsi="Times New Roman" w:cs="Times New Roman"/>
                <w:color w:val="000000"/>
                <w:kern w:val="0"/>
                <w:sz w:val="21"/>
                <w:szCs w:val="21"/>
                <w:highlight w:val="none"/>
                <w:lang w:val="en-US" w:eastAsia="zh-CN"/>
              </w:rPr>
              <w:t>1129.1万元</w:t>
            </w: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489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纳入专户管理的非税收入拨款：</w:t>
            </w:r>
          </w:p>
        </w:tc>
        <w:tc>
          <w:tcPr>
            <w:tcW w:w="456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r>
      <w:tr>
        <w:tblPrEx>
          <w:tblCellMar>
            <w:top w:w="0" w:type="dxa"/>
            <w:left w:w="108" w:type="dxa"/>
            <w:bottom w:w="0" w:type="dxa"/>
            <w:right w:w="108" w:type="dxa"/>
          </w:tblCellMar>
        </w:tblPrEx>
        <w:trPr>
          <w:jc w:val="center"/>
        </w:trPr>
        <w:tc>
          <w:tcPr>
            <w:tcW w:w="97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489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442" w:firstLineChars="700"/>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其他资金：</w:t>
            </w:r>
          </w:p>
        </w:tc>
        <w:tc>
          <w:tcPr>
            <w:tcW w:w="456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r>
      <w:tr>
        <w:tblPrEx>
          <w:tblCellMar>
            <w:top w:w="0" w:type="dxa"/>
            <w:left w:w="108" w:type="dxa"/>
            <w:bottom w:w="0" w:type="dxa"/>
            <w:right w:w="108" w:type="dxa"/>
          </w:tblCellMar>
        </w:tblPrEx>
        <w:trPr>
          <w:jc w:val="center"/>
        </w:trPr>
        <w:tc>
          <w:tcPr>
            <w:tcW w:w="97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年度总体目标</w:t>
            </w:r>
          </w:p>
        </w:tc>
        <w:tc>
          <w:tcPr>
            <w:tcW w:w="489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预期目标</w:t>
            </w:r>
          </w:p>
        </w:tc>
        <w:tc>
          <w:tcPr>
            <w:tcW w:w="456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实际完成情况　</w:t>
            </w:r>
          </w:p>
        </w:tc>
      </w:tr>
      <w:tr>
        <w:tblPrEx>
          <w:tblCellMar>
            <w:top w:w="0" w:type="dxa"/>
            <w:left w:w="108" w:type="dxa"/>
            <w:bottom w:w="0" w:type="dxa"/>
            <w:right w:w="108" w:type="dxa"/>
          </w:tblCellMar>
        </w:tblPrEx>
        <w:trPr>
          <w:jc w:val="center"/>
        </w:trPr>
        <w:tc>
          <w:tcPr>
            <w:tcW w:w="97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489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hint="eastAsia" w:ascii="Times New Roman" w:hAnsi="Times New Roman" w:cs="Times New Roman"/>
                <w:sz w:val="21"/>
                <w:szCs w:val="21"/>
                <w:highlight w:val="none"/>
                <w:lang w:val="en-US" w:eastAsia="zh-CN"/>
              </w:rPr>
              <w:t>1490.74</w:t>
            </w:r>
          </w:p>
        </w:tc>
        <w:tc>
          <w:tcPr>
            <w:tcW w:w="456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1220.83</w:t>
            </w:r>
          </w:p>
        </w:tc>
      </w:tr>
      <w:tr>
        <w:tblPrEx>
          <w:tblCellMar>
            <w:top w:w="0" w:type="dxa"/>
            <w:left w:w="108" w:type="dxa"/>
            <w:bottom w:w="0" w:type="dxa"/>
            <w:right w:w="108" w:type="dxa"/>
          </w:tblCellMar>
        </w:tblPrEx>
        <w:trPr>
          <w:trHeight w:val="835" w:hRule="atLeast"/>
          <w:jc w:val="center"/>
        </w:trPr>
        <w:tc>
          <w:tcPr>
            <w:tcW w:w="97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一级指标</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二级指标</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三级指标</w:t>
            </w:r>
          </w:p>
        </w:tc>
        <w:tc>
          <w:tcPr>
            <w:tcW w:w="14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指标值</w:t>
            </w:r>
          </w:p>
        </w:tc>
        <w:tc>
          <w:tcPr>
            <w:tcW w:w="15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实际完成值</w:t>
            </w: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分值</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得分</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改进措施</w:t>
            </w: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(50分)</w:t>
            </w:r>
          </w:p>
        </w:tc>
        <w:tc>
          <w:tcPr>
            <w:tcW w:w="115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数量指标</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托养服务人员</w:t>
            </w:r>
          </w:p>
        </w:tc>
        <w:tc>
          <w:tcPr>
            <w:tcW w:w="14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110</w:t>
            </w:r>
          </w:p>
        </w:tc>
        <w:tc>
          <w:tcPr>
            <w:tcW w:w="15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375</w:t>
            </w: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val="en-US" w:eastAsia="zh-CN"/>
              </w:rPr>
              <w:t>8</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val="en-US" w:eastAsia="zh-CN"/>
              </w:rPr>
              <w:t>8</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r>
      <w:tr>
        <w:tblPrEx>
          <w:tblCellMar>
            <w:top w:w="0" w:type="dxa"/>
            <w:left w:w="108" w:type="dxa"/>
            <w:bottom w:w="0" w:type="dxa"/>
            <w:right w:w="108" w:type="dxa"/>
          </w:tblCellMar>
        </w:tblPrEx>
        <w:trPr>
          <w:trHeight w:val="260" w:hRule="atLeast"/>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115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hint="eastAsia" w:ascii="Times New Roman" w:hAnsi="Times New Roman" w:cs="Times New Roman"/>
                <w:color w:val="000000"/>
                <w:kern w:val="0"/>
                <w:sz w:val="21"/>
                <w:szCs w:val="21"/>
                <w:highlight w:val="none"/>
              </w:rPr>
              <w:t>培训残疾人</w:t>
            </w:r>
          </w:p>
        </w:tc>
        <w:tc>
          <w:tcPr>
            <w:tcW w:w="14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300</w:t>
            </w:r>
          </w:p>
        </w:tc>
        <w:tc>
          <w:tcPr>
            <w:tcW w:w="15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430</w:t>
            </w: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10</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10</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115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新增就业人数</w:t>
            </w:r>
          </w:p>
        </w:tc>
        <w:tc>
          <w:tcPr>
            <w:tcW w:w="14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700</w:t>
            </w:r>
          </w:p>
        </w:tc>
        <w:tc>
          <w:tcPr>
            <w:tcW w:w="15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924</w:t>
            </w: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12</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12</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115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困难残疾人家庭无障碍改造</w:t>
            </w:r>
          </w:p>
        </w:tc>
        <w:tc>
          <w:tcPr>
            <w:tcW w:w="14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100</w:t>
            </w:r>
          </w:p>
        </w:tc>
        <w:tc>
          <w:tcPr>
            <w:tcW w:w="15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200</w:t>
            </w: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10</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10</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r>
      <w:tr>
        <w:tblPrEx>
          <w:tblCellMar>
            <w:top w:w="0" w:type="dxa"/>
            <w:left w:w="108" w:type="dxa"/>
            <w:bottom w:w="0" w:type="dxa"/>
            <w:right w:w="108" w:type="dxa"/>
          </w:tblCellMar>
        </w:tblPrEx>
        <w:trPr>
          <w:trHeight w:val="280" w:hRule="atLeast"/>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质量指标</w:t>
            </w:r>
          </w:p>
        </w:tc>
        <w:tc>
          <w:tcPr>
            <w:tcW w:w="15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符合专业要求</w:t>
            </w:r>
          </w:p>
        </w:tc>
        <w:tc>
          <w:tcPr>
            <w:tcW w:w="14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达到专业标准</w:t>
            </w:r>
          </w:p>
        </w:tc>
        <w:tc>
          <w:tcPr>
            <w:tcW w:w="15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达到专业标准</w:t>
            </w: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val="en-US" w:eastAsia="zh-CN"/>
              </w:rPr>
              <w:t>4</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val="en-US" w:eastAsia="zh-CN"/>
              </w:rPr>
              <w:t>4</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cs="Times New Roman"/>
                <w:color w:val="000000"/>
                <w:kern w:val="0"/>
                <w:sz w:val="21"/>
                <w:szCs w:val="21"/>
                <w:highlight w:val="none"/>
                <w:lang w:eastAsia="zh-CN"/>
              </w:rPr>
            </w:pP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时效指标</w:t>
            </w:r>
          </w:p>
        </w:tc>
        <w:tc>
          <w:tcPr>
            <w:tcW w:w="15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完成时限</w:t>
            </w:r>
          </w:p>
        </w:tc>
        <w:tc>
          <w:tcPr>
            <w:tcW w:w="14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202</w:t>
            </w:r>
            <w:r>
              <w:rPr>
                <w:rFonts w:hint="eastAsia" w:ascii="Times New Roman" w:hAnsi="Times New Roman" w:cs="Times New Roman"/>
                <w:color w:val="000000"/>
                <w:kern w:val="0"/>
                <w:sz w:val="21"/>
                <w:szCs w:val="21"/>
                <w:highlight w:val="none"/>
                <w:lang w:val="en-US" w:eastAsia="zh-CN"/>
              </w:rPr>
              <w:t>1</w:t>
            </w:r>
            <w:r>
              <w:rPr>
                <w:rFonts w:hint="eastAsia" w:ascii="Times New Roman" w:hAnsi="Times New Roman" w:cs="Times New Roman"/>
                <w:color w:val="000000"/>
                <w:kern w:val="0"/>
                <w:sz w:val="21"/>
                <w:szCs w:val="21"/>
                <w:highlight w:val="none"/>
                <w:lang w:eastAsia="zh-CN"/>
              </w:rPr>
              <w:t>年12月31日</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202</w:t>
            </w:r>
            <w:r>
              <w:rPr>
                <w:rFonts w:hint="eastAsia" w:ascii="Times New Roman" w:hAnsi="Times New Roman" w:cs="Times New Roman"/>
                <w:color w:val="000000"/>
                <w:kern w:val="0"/>
                <w:sz w:val="21"/>
                <w:szCs w:val="21"/>
                <w:highlight w:val="none"/>
                <w:lang w:val="en-US" w:eastAsia="zh-CN"/>
              </w:rPr>
              <w:t>1</w:t>
            </w:r>
            <w:r>
              <w:rPr>
                <w:rFonts w:hint="eastAsia" w:ascii="Times New Roman" w:hAnsi="Times New Roman" w:cs="Times New Roman"/>
                <w:color w:val="000000"/>
                <w:kern w:val="0"/>
                <w:sz w:val="21"/>
                <w:szCs w:val="21"/>
                <w:highlight w:val="none"/>
                <w:lang w:eastAsia="zh-CN"/>
              </w:rPr>
              <w:t>年12月31日前</w:t>
            </w:r>
          </w:p>
        </w:tc>
        <w:tc>
          <w:tcPr>
            <w:tcW w:w="7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val="en-US" w:eastAsia="zh-CN"/>
              </w:rPr>
              <w:t>3</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val="en-US" w:eastAsia="zh-CN"/>
              </w:rPr>
              <w:t>3</w:t>
            </w:r>
          </w:p>
        </w:tc>
        <w:tc>
          <w:tcPr>
            <w:tcW w:w="1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cs="Times New Roman"/>
                <w:color w:val="000000"/>
                <w:kern w:val="0"/>
                <w:sz w:val="21"/>
                <w:szCs w:val="21"/>
                <w:highlight w:val="none"/>
                <w:lang w:eastAsia="zh-CN"/>
              </w:rPr>
            </w:pP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成本指标</w:t>
            </w:r>
          </w:p>
        </w:tc>
        <w:tc>
          <w:tcPr>
            <w:tcW w:w="153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rPr>
              <w:t>超支额度</w:t>
            </w:r>
          </w:p>
        </w:tc>
        <w:tc>
          <w:tcPr>
            <w:tcW w:w="149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0</w:t>
            </w:r>
          </w:p>
        </w:tc>
        <w:tc>
          <w:tcPr>
            <w:tcW w:w="15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0</w:t>
            </w:r>
          </w:p>
        </w:tc>
        <w:tc>
          <w:tcPr>
            <w:tcW w:w="78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3</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3</w:t>
            </w:r>
          </w:p>
        </w:tc>
        <w:tc>
          <w:tcPr>
            <w:tcW w:w="1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w:t>
            </w:r>
            <w:r>
              <w:rPr>
                <w:rFonts w:hint="eastAsia" w:ascii="Times New Roman" w:hAnsi="Times New Roman" w:cs="Times New Roman"/>
                <w:color w:val="000000"/>
                <w:kern w:val="0"/>
                <w:sz w:val="21"/>
                <w:szCs w:val="21"/>
                <w:highlight w:val="none"/>
                <w:lang w:val="en-US" w:eastAsia="zh-CN"/>
              </w:rPr>
              <w:t>4</w:t>
            </w:r>
            <w:r>
              <w:rPr>
                <w:rFonts w:ascii="Times New Roman" w:hAnsi="Times New Roman" w:eastAsia="仿宋_GB2312" w:cs="Times New Roman"/>
                <w:color w:val="000000"/>
                <w:kern w:val="0"/>
                <w:sz w:val="21"/>
                <w:szCs w:val="21"/>
                <w:highlight w:val="none"/>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益指标</w:t>
            </w:r>
          </w:p>
        </w:tc>
        <w:tc>
          <w:tcPr>
            <w:tcW w:w="153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rPr>
              <w:t>受惠率</w:t>
            </w:r>
            <w:r>
              <w:rPr>
                <w:rFonts w:ascii="Times New Roman" w:hAnsi="Times New Roman"/>
                <w:color w:val="000000"/>
                <w:kern w:val="0"/>
                <w:sz w:val="21"/>
                <w:szCs w:val="21"/>
                <w:highlight w:val="none"/>
              </w:rPr>
              <w:t>：</w:t>
            </w:r>
          </w:p>
        </w:tc>
        <w:tc>
          <w:tcPr>
            <w:tcW w:w="149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rPr>
              <w:t>100%</w:t>
            </w:r>
          </w:p>
        </w:tc>
        <w:tc>
          <w:tcPr>
            <w:tcW w:w="15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95%</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10</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9</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偏僻地区人群因政策消息闭塞对受惠率有一定影响。今后加大政策宣传。</w:t>
            </w: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益指标</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rPr>
              <w:t>社会认可度</w:t>
            </w:r>
          </w:p>
        </w:tc>
        <w:tc>
          <w:tcPr>
            <w:tcW w:w="149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rPr>
              <w:t>95%</w:t>
            </w:r>
          </w:p>
        </w:tc>
        <w:tc>
          <w:tcPr>
            <w:tcW w:w="15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95%</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10</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10</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　</w:t>
            </w:r>
          </w:p>
        </w:tc>
      </w:tr>
      <w:tr>
        <w:tblPrEx>
          <w:tblCellMar>
            <w:top w:w="0" w:type="dxa"/>
            <w:left w:w="108" w:type="dxa"/>
            <w:bottom w:w="0" w:type="dxa"/>
            <w:right w:w="108" w:type="dxa"/>
          </w:tblCellMar>
        </w:tblPrEx>
        <w:trPr>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益指标</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rPr>
              <w:t>噪声、污染</w:t>
            </w:r>
          </w:p>
        </w:tc>
        <w:tc>
          <w:tcPr>
            <w:tcW w:w="149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s="Times New Roman"/>
                <w:color w:val="000000"/>
                <w:kern w:val="0"/>
                <w:sz w:val="21"/>
                <w:szCs w:val="21"/>
                <w:highlight w:val="none"/>
              </w:rPr>
              <w:t>无</w:t>
            </w:r>
          </w:p>
        </w:tc>
        <w:tc>
          <w:tcPr>
            <w:tcW w:w="15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s="Times New Roman"/>
                <w:color w:val="000000"/>
                <w:kern w:val="0"/>
                <w:sz w:val="21"/>
                <w:szCs w:val="21"/>
                <w:highlight w:val="none"/>
              </w:rPr>
              <w:t>无</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10</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10</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　</w:t>
            </w:r>
          </w:p>
        </w:tc>
      </w:tr>
      <w:tr>
        <w:tblPrEx>
          <w:tblCellMar>
            <w:top w:w="0" w:type="dxa"/>
            <w:left w:w="108" w:type="dxa"/>
            <w:bottom w:w="0" w:type="dxa"/>
            <w:right w:w="108" w:type="dxa"/>
          </w:tblCellMar>
        </w:tblPrEx>
        <w:trPr>
          <w:trHeight w:val="480" w:hRule="atLeast"/>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p>
        </w:tc>
        <w:tc>
          <w:tcPr>
            <w:tcW w:w="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可持续影响指标</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rPr>
              <w:t>结构协调</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rPr>
              <w:t>结构协调</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rPr>
              <w:t>结构协调</w:t>
            </w:r>
          </w:p>
        </w:tc>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10</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10</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　</w:t>
            </w:r>
          </w:p>
        </w:tc>
      </w:tr>
      <w:tr>
        <w:tblPrEx>
          <w:tblCellMar>
            <w:top w:w="0" w:type="dxa"/>
            <w:left w:w="108" w:type="dxa"/>
            <w:bottom w:w="0" w:type="dxa"/>
            <w:right w:w="108" w:type="dxa"/>
          </w:tblCellMar>
        </w:tblPrEx>
        <w:trPr>
          <w:trHeight w:val="480" w:hRule="atLeast"/>
          <w:jc w:val="center"/>
        </w:trPr>
        <w:tc>
          <w:tcPr>
            <w:tcW w:w="9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p>
        </w:tc>
        <w:tc>
          <w:tcPr>
            <w:tcW w:w="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服务对象满意度指标</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rPr>
              <w:t>服务对象满意度</w:t>
            </w:r>
          </w:p>
        </w:tc>
        <w:tc>
          <w:tcPr>
            <w:tcW w:w="149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95%</w:t>
            </w:r>
          </w:p>
        </w:tc>
        <w:tc>
          <w:tcPr>
            <w:tcW w:w="15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95%</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10</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highlight w:val="none"/>
              </w:rPr>
            </w:pPr>
            <w:r>
              <w:rPr>
                <w:rFonts w:hint="eastAsia" w:ascii="Times New Roman" w:hAnsi="Times New Roman"/>
                <w:color w:val="000000"/>
                <w:kern w:val="0"/>
                <w:sz w:val="21"/>
                <w:szCs w:val="21"/>
                <w:highlight w:val="none"/>
                <w:lang w:val="en-US" w:eastAsia="zh-CN"/>
              </w:rPr>
              <w:t>10</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　</w:t>
            </w:r>
          </w:p>
        </w:tc>
      </w:tr>
      <w:tr>
        <w:tblPrEx>
          <w:tblCellMar>
            <w:top w:w="0" w:type="dxa"/>
            <w:left w:w="108" w:type="dxa"/>
            <w:bottom w:w="0" w:type="dxa"/>
            <w:right w:w="108" w:type="dxa"/>
          </w:tblCellMar>
        </w:tblPrEx>
        <w:trPr>
          <w:trHeight w:val="270" w:hRule="atLeast"/>
          <w:jc w:val="center"/>
        </w:trPr>
        <w:tc>
          <w:tcPr>
            <w:tcW w:w="739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总分</w:t>
            </w: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000000"/>
                <w:kern w:val="0"/>
                <w:sz w:val="21"/>
                <w:szCs w:val="21"/>
                <w:highlight w:val="none"/>
                <w:lang w:eastAsia="zh-CN"/>
              </w:rPr>
            </w:pPr>
            <w:r>
              <w:rPr>
                <w:rFonts w:ascii="Times New Roman" w:hAnsi="Times New Roman" w:eastAsia="仿宋_GB2312" w:cs="Times New Roman"/>
                <w:color w:val="000000"/>
                <w:kern w:val="0"/>
                <w:sz w:val="21"/>
                <w:szCs w:val="21"/>
                <w:highlight w:val="none"/>
              </w:rPr>
              <w:t>100</w:t>
            </w:r>
            <w:r>
              <w:rPr>
                <w:rFonts w:hint="eastAsia" w:ascii="Times New Roman" w:hAnsi="Times New Roman" w:cs="Times New Roman"/>
                <w:color w:val="000000"/>
                <w:kern w:val="0"/>
                <w:sz w:val="21"/>
                <w:szCs w:val="21"/>
                <w:highlight w:val="none"/>
                <w:lang w:eastAsia="zh-CN"/>
              </w:rPr>
              <w:t>分</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99</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　</w:t>
            </w:r>
          </w:p>
        </w:tc>
      </w:tr>
    </w:tbl>
    <w:p>
      <w:pPr>
        <w:widowControl/>
        <w:spacing w:line="600" w:lineRule="exact"/>
        <w:rPr>
          <w:rFonts w:hint="eastAsia" w:eastAsia="仿宋_GB2312"/>
          <w:highlight w:val="none"/>
          <w:lang w:val="en-US" w:eastAsia="zh-CN"/>
        </w:rPr>
      </w:pPr>
      <w:r>
        <w:rPr>
          <w:rFonts w:ascii="Times New Roman" w:hAnsi="Times New Roman" w:eastAsia="仿宋_GB2312" w:cs="Times New Roman"/>
          <w:kern w:val="0"/>
          <w:sz w:val="21"/>
          <w:szCs w:val="21"/>
          <w:highlight w:val="none"/>
        </w:rPr>
        <w:t>填表人：        填报日期：          联系电话：            单位负责人签字：</w:t>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35"/>
      <w:rPr>
        <w:rStyle w:val="6"/>
        <w:rFonts w:hint="eastAsia"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7</w:t>
    </w:r>
    <w:r>
      <w:rPr>
        <w:rFonts w:ascii="宋体" w:hAnsi="宋体" w:eastAsia="宋体"/>
        <w:sz w:val="28"/>
      </w:rPr>
      <w:fldChar w:fldCharType="end"/>
    </w:r>
    <w:r>
      <w:rPr>
        <w:rStyle w:val="6"/>
        <w:rFonts w:hint="eastAsia" w:ascii="宋体" w:hAnsi="宋体" w:eastAsia="宋体"/>
        <w:sz w:val="28"/>
      </w:rPr>
      <w:t>—</w:t>
    </w:r>
  </w:p>
  <w:p>
    <w:pPr>
      <w:pStyle w:val="3"/>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35"/>
      <w:rPr>
        <w:rStyle w:val="6"/>
        <w:rFonts w:hint="eastAsia"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8</w:t>
    </w:r>
    <w:r>
      <w:rPr>
        <w:rFonts w:ascii="宋体" w:hAnsi="宋体" w:eastAsia="宋体"/>
        <w:sz w:val="28"/>
      </w:rPr>
      <w:fldChar w:fldCharType="end"/>
    </w:r>
    <w:r>
      <w:rPr>
        <w:rStyle w:val="6"/>
        <w:rFonts w:hint="eastAsia" w:ascii="宋体" w:hAnsi="宋体" w:eastAsia="宋体"/>
        <w:sz w:val="28"/>
      </w:rPr>
      <w:t>—</w:t>
    </w:r>
  </w:p>
  <w:p>
    <w:pPr>
      <w:pStyle w:val="3"/>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17FB7"/>
    <w:multiLevelType w:val="singleLevel"/>
    <w:tmpl w:val="F5F17FB7"/>
    <w:lvl w:ilvl="0" w:tentative="0">
      <w:start w:val="1"/>
      <w:numFmt w:val="chineseCounting"/>
      <w:suff w:val="nothing"/>
      <w:lvlText w:val="%1、"/>
      <w:lvlJc w:val="left"/>
      <w:rPr>
        <w:rFonts w:hint="eastAsia"/>
      </w:rPr>
    </w:lvl>
  </w:abstractNum>
  <w:abstractNum w:abstractNumId="1">
    <w:nsid w:val="1A9C4C80"/>
    <w:multiLevelType w:val="singleLevel"/>
    <w:tmpl w:val="1A9C4C80"/>
    <w:lvl w:ilvl="0" w:tentative="0">
      <w:start w:val="6"/>
      <w:numFmt w:val="chineseCounting"/>
      <w:suff w:val="nothing"/>
      <w:lvlText w:val="%1、"/>
      <w:lvlJc w:val="left"/>
      <w:rPr>
        <w:rFonts w:hint="eastAsia"/>
      </w:rPr>
    </w:lvl>
  </w:abstractNum>
  <w:abstractNum w:abstractNumId="2">
    <w:nsid w:val="5AB5ADD2"/>
    <w:multiLevelType w:val="singleLevel"/>
    <w:tmpl w:val="5AB5ADD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NDZjZWYwNTc1YmNjNTIxZDc0OTIwNjRmN2NkNzAifQ=="/>
  </w:docVars>
  <w:rsids>
    <w:rsidRoot w:val="6D9A4C10"/>
    <w:rsid w:val="0CDB4814"/>
    <w:rsid w:val="170018F2"/>
    <w:rsid w:val="1A530E06"/>
    <w:rsid w:val="30D97811"/>
    <w:rsid w:val="517D04A5"/>
    <w:rsid w:val="56B5686E"/>
    <w:rsid w:val="57200518"/>
    <w:rsid w:val="5EE220EF"/>
    <w:rsid w:val="5EFB1502"/>
    <w:rsid w:val="5F4419CE"/>
    <w:rsid w:val="65034DC6"/>
    <w:rsid w:val="67672721"/>
    <w:rsid w:val="6BE37F90"/>
    <w:rsid w:val="6D9A4C10"/>
    <w:rsid w:val="7859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paragraph" w:styleId="2">
    <w:name w:val="heading 3"/>
    <w:basedOn w:val="1"/>
    <w:next w:val="1"/>
    <w:link w:val="7"/>
    <w:unhideWhenUsed/>
    <w:qFormat/>
    <w:uiPriority w:val="0"/>
    <w:pPr>
      <w:keepNext/>
      <w:keepLines/>
      <w:spacing w:before="260" w:after="260" w:line="416" w:lineRule="auto"/>
      <w:outlineLvl w:val="2"/>
    </w:pPr>
    <w:rPr>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标题 3 Char"/>
    <w:basedOn w:val="5"/>
    <w:link w:val="2"/>
    <w:qFormat/>
    <w:uiPriority w:val="9"/>
    <w:rPr>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3478</Words>
  <Characters>4031</Characters>
  <Lines>0</Lines>
  <Paragraphs>0</Paragraphs>
  <TotalTime>6</TotalTime>
  <ScaleCrop>false</ScaleCrop>
  <LinksUpToDate>false</LinksUpToDate>
  <CharactersWithSpaces>4201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2021-04-20T11:27:00Z</dcterms:created>
  <dc:creator>浅浅*~流苏</dc:creator>
  <cp:lastModifiedBy>Administrator</cp:lastModifiedBy>
  <cp:lastPrinted>2022-05-09T06:30:11Z</cp:lastPrinted>
  <dcterms:modified xsi:type="dcterms:W3CDTF">2022-05-09T06:31:54Z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2E8C3A2A0E2045498EB0E42F23E78B49</vt:lpwstr>
  </property>
</Properties>
</file>